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9F01" w14:textId="77777777" w:rsidR="00C27E72" w:rsidRDefault="007D2DEC">
      <w:pPr>
        <w:ind w:right="-44"/>
        <w:jc w:val="center"/>
        <w:rPr>
          <w:szCs w:val="24"/>
          <w:lang w:val="en-US"/>
        </w:rPr>
      </w:pPr>
      <w:r>
        <w:rPr>
          <w:szCs w:val="24"/>
          <w:lang w:val="en-US"/>
        </w:rPr>
        <w:object w:dxaOrig="696" w:dyaOrig="801" w14:anchorId="786A4F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42.6pt" o:ole="" fillcolor="window">
            <v:imagedata r:id="rId6" o:title=""/>
          </v:shape>
          <o:OLEObject Type="Embed" ProgID="CorelPhotoPaint.Image.9" ShapeID="_x0000_i1025" DrawAspect="Content" ObjectID="_1810970512" r:id="rId7"/>
        </w:object>
      </w:r>
    </w:p>
    <w:p w14:paraId="02EDDA49" w14:textId="77777777" w:rsidR="00C27E72" w:rsidRDefault="00C27E72">
      <w:pPr>
        <w:jc w:val="center"/>
        <w:rPr>
          <w:szCs w:val="24"/>
        </w:rPr>
      </w:pPr>
    </w:p>
    <w:p w14:paraId="79DBCBBA" w14:textId="77777777" w:rsidR="00C27E72" w:rsidRDefault="007D2DEC">
      <w:pPr>
        <w:keepNext/>
        <w:ind w:left="142" w:right="-44"/>
        <w:jc w:val="center"/>
        <w:rPr>
          <w:b/>
          <w:szCs w:val="24"/>
        </w:rPr>
      </w:pPr>
      <w:r>
        <w:rPr>
          <w:b/>
          <w:szCs w:val="24"/>
        </w:rPr>
        <w:t>VILNIAUS RAJONO SAVIVALDYBĖS TARYBA</w:t>
      </w:r>
    </w:p>
    <w:p w14:paraId="00239B08" w14:textId="77777777" w:rsidR="00C27E72" w:rsidRDefault="00C27E72">
      <w:pPr>
        <w:keepNext/>
        <w:ind w:right="-44"/>
        <w:jc w:val="center"/>
        <w:rPr>
          <w:szCs w:val="24"/>
        </w:rPr>
      </w:pPr>
    </w:p>
    <w:p w14:paraId="70FF4111" w14:textId="77777777" w:rsidR="00C27E72" w:rsidRDefault="007D2DEC">
      <w:pPr>
        <w:jc w:val="center"/>
        <w:rPr>
          <w:b/>
          <w:szCs w:val="24"/>
        </w:rPr>
      </w:pPr>
      <w:r>
        <w:rPr>
          <w:b/>
          <w:szCs w:val="24"/>
        </w:rPr>
        <w:t>SPRENDIMAS</w:t>
      </w:r>
    </w:p>
    <w:p w14:paraId="0B702E1B" w14:textId="77777777" w:rsidR="00C27E72" w:rsidRDefault="007D2DEC">
      <w:pPr>
        <w:jc w:val="center"/>
        <w:rPr>
          <w:b/>
          <w:szCs w:val="24"/>
        </w:rPr>
      </w:pPr>
      <w:r>
        <w:rPr>
          <w:b/>
          <w:szCs w:val="24"/>
        </w:rPr>
        <w:t>DĖL VILNIAUS RAJONO SAVIVALDYBĖS MERO</w:t>
      </w:r>
      <w:r>
        <w:rPr>
          <w:b/>
          <w:color w:val="FF0000"/>
          <w:szCs w:val="24"/>
        </w:rPr>
        <w:t xml:space="preserve"> </w:t>
      </w:r>
      <w:r>
        <w:rPr>
          <w:b/>
          <w:szCs w:val="24"/>
        </w:rPr>
        <w:t xml:space="preserve">REZERVO LĖŠŲ NAUDOJIMO TVARKOS APRAŠO PATVIRTINIMO </w:t>
      </w:r>
    </w:p>
    <w:p w14:paraId="69A56626" w14:textId="77777777" w:rsidR="00C27E72" w:rsidRDefault="00C27E72">
      <w:pPr>
        <w:jc w:val="center"/>
        <w:rPr>
          <w:b/>
          <w:szCs w:val="24"/>
        </w:rPr>
      </w:pPr>
    </w:p>
    <w:p w14:paraId="094C9D52" w14:textId="77777777" w:rsidR="00C27E72" w:rsidRDefault="007D2DEC">
      <w:pPr>
        <w:jc w:val="center"/>
        <w:rPr>
          <w:color w:val="000000"/>
          <w:szCs w:val="24"/>
        </w:rPr>
      </w:pPr>
      <w:r>
        <w:rPr>
          <w:color w:val="000000"/>
          <w:szCs w:val="24"/>
        </w:rPr>
        <w:t>2024 m. gruodžio 20 d. Nr. T3-412</w:t>
      </w:r>
    </w:p>
    <w:p w14:paraId="5B3BFA46" w14:textId="77777777" w:rsidR="00C27E72" w:rsidRDefault="007D2DEC">
      <w:pPr>
        <w:jc w:val="center"/>
        <w:rPr>
          <w:szCs w:val="24"/>
        </w:rPr>
      </w:pPr>
      <w:r>
        <w:rPr>
          <w:szCs w:val="24"/>
        </w:rPr>
        <w:t>Vilnius</w:t>
      </w:r>
    </w:p>
    <w:p w14:paraId="26FD4512" w14:textId="77777777" w:rsidR="00C27E72" w:rsidRDefault="00C27E72">
      <w:pPr>
        <w:rPr>
          <w:szCs w:val="24"/>
        </w:rPr>
      </w:pPr>
    </w:p>
    <w:p w14:paraId="5D4F7DC2" w14:textId="77777777" w:rsidR="00C27E72" w:rsidRDefault="007D2DEC">
      <w:pPr>
        <w:ind w:firstLine="720"/>
        <w:jc w:val="both"/>
        <w:rPr>
          <w:szCs w:val="24"/>
        </w:rPr>
      </w:pPr>
      <w:r>
        <w:rPr>
          <w:szCs w:val="24"/>
        </w:rPr>
        <w:t>Vadovaudamasi Lietuvos Respublikos vietos savivaldos įstatymo 15 straipsnio 4 dalimi, Lietuvos Respublikos biudžeto sandaros įstatymo15 straipsniu, Lietuvos Respublikos krizių valdymo ir civilinės saugos įstatymo 47 straipsnio 3 punktu, Vilniaus rajono savivaldybės taryba n u s p r e n d ž i a:</w:t>
      </w:r>
    </w:p>
    <w:p w14:paraId="4D985A7C" w14:textId="77777777" w:rsidR="00C27E72" w:rsidRDefault="007D2DEC">
      <w:pPr>
        <w:ind w:firstLine="720"/>
        <w:jc w:val="both"/>
        <w:rPr>
          <w:szCs w:val="24"/>
        </w:rPr>
      </w:pPr>
      <w:r>
        <w:rPr>
          <w:szCs w:val="24"/>
        </w:rPr>
        <w:t>1. Patvirtinti Vilniaus rajono savivaldybės mero rezervo lėšų naudojimo tvarkos aprašą (pridedama).</w:t>
      </w:r>
    </w:p>
    <w:p w14:paraId="68D42D2C" w14:textId="77777777" w:rsidR="00C27E72" w:rsidRDefault="007D2DEC">
      <w:pPr>
        <w:ind w:firstLine="720"/>
        <w:jc w:val="both"/>
        <w:rPr>
          <w:szCs w:val="24"/>
        </w:rPr>
      </w:pPr>
      <w:r>
        <w:rPr>
          <w:szCs w:val="24"/>
        </w:rPr>
        <w:t>2. Pripažinti netekusiu galios Vilniaus rajono savivaldybės tarybos 2023 m. birželio 9 d. sprendimą Nr. T3-151 „</w:t>
      </w:r>
      <w:r>
        <w:rPr>
          <w:color w:val="000000"/>
        </w:rPr>
        <w:t>Dėl Vilniaus rajono savivaldybės mero</w:t>
      </w:r>
      <w:r>
        <w:rPr>
          <w:color w:val="FF0000"/>
        </w:rPr>
        <w:t> </w:t>
      </w:r>
      <w:r>
        <w:rPr>
          <w:color w:val="000000"/>
        </w:rPr>
        <w:t>rezervo lėšų naudojimo tvarkos aprašo patvirtinimo</w:t>
      </w:r>
      <w:r>
        <w:rPr>
          <w:szCs w:val="24"/>
        </w:rPr>
        <w:t>“.</w:t>
      </w:r>
    </w:p>
    <w:p w14:paraId="2ED5E0EE" w14:textId="77777777" w:rsidR="00C27E72" w:rsidRDefault="007D2DEC" w:rsidP="007D2DEC">
      <w:pPr>
        <w:ind w:firstLine="720"/>
        <w:jc w:val="both"/>
        <w:rPr>
          <w:szCs w:val="24"/>
        </w:rPr>
      </w:pPr>
      <w:r>
        <w:rPr>
          <w:szCs w:val="24"/>
        </w:rPr>
        <w:t>3. Šį sprendimą paskelbti Teisės aktų registre bei Savivaldybės interneto svetainėje.</w:t>
      </w:r>
    </w:p>
    <w:p w14:paraId="5E22CC2C" w14:textId="77777777" w:rsidR="007D2DEC" w:rsidRDefault="007D2DEC">
      <w:pPr>
        <w:jc w:val="both"/>
      </w:pPr>
    </w:p>
    <w:p w14:paraId="77FF9949" w14:textId="77777777" w:rsidR="007D2DEC" w:rsidRDefault="007D2DEC">
      <w:pPr>
        <w:jc w:val="both"/>
      </w:pPr>
    </w:p>
    <w:p w14:paraId="23A8758A" w14:textId="77777777" w:rsidR="007D2DEC" w:rsidRDefault="007D2DEC">
      <w:pPr>
        <w:jc w:val="both"/>
      </w:pPr>
    </w:p>
    <w:p w14:paraId="10B1F7E4" w14:textId="77777777" w:rsidR="00C27E72" w:rsidRDefault="007D2DEC">
      <w:pPr>
        <w:jc w:val="both"/>
      </w:pPr>
      <w:r>
        <w:rPr>
          <w:szCs w:val="24"/>
        </w:rPr>
        <w:t xml:space="preserve">Savivaldybės meras </w:t>
      </w:r>
      <w:r>
        <w:rPr>
          <w:szCs w:val="24"/>
        </w:rPr>
        <w:tab/>
      </w:r>
      <w:r>
        <w:rPr>
          <w:szCs w:val="24"/>
        </w:rPr>
        <w:tab/>
      </w:r>
      <w:r>
        <w:rPr>
          <w:szCs w:val="24"/>
        </w:rPr>
        <w:tab/>
      </w:r>
      <w:r>
        <w:rPr>
          <w:szCs w:val="24"/>
        </w:rPr>
        <w:tab/>
        <w:t>Robert Duchnevič</w:t>
      </w:r>
    </w:p>
    <w:p w14:paraId="167FA79E" w14:textId="77777777" w:rsidR="00C27E72" w:rsidRDefault="00C27E72">
      <w:pPr>
        <w:jc w:val="both"/>
      </w:pPr>
    </w:p>
    <w:p w14:paraId="3A4E1E4F" w14:textId="77777777" w:rsidR="00C27E72" w:rsidRDefault="00C27E72">
      <w:pPr>
        <w:jc w:val="both"/>
      </w:pPr>
    </w:p>
    <w:p w14:paraId="61ED823B" w14:textId="77777777" w:rsidR="007D2DEC" w:rsidRDefault="007D2DEC">
      <w:pPr>
        <w:tabs>
          <w:tab w:val="left" w:pos="5103"/>
        </w:tabs>
        <w:ind w:right="39" w:firstLine="5103"/>
        <w:sectPr w:rsidR="007D2DEC" w:rsidSect="007D2DEC">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09" w:footer="567" w:gutter="0"/>
          <w:cols w:space="1296"/>
          <w:titlePg/>
          <w:docGrid w:linePitch="360"/>
        </w:sectPr>
      </w:pPr>
    </w:p>
    <w:p w14:paraId="6FAA00D9" w14:textId="77777777" w:rsidR="00C27E72" w:rsidRDefault="007D2DEC">
      <w:pPr>
        <w:tabs>
          <w:tab w:val="left" w:pos="5103"/>
        </w:tabs>
        <w:ind w:right="39" w:firstLine="5103"/>
        <w:rPr>
          <w:szCs w:val="24"/>
        </w:rPr>
      </w:pPr>
      <w:r>
        <w:rPr>
          <w:szCs w:val="24"/>
        </w:rPr>
        <w:lastRenderedPageBreak/>
        <w:t>PATVIRTINTA</w:t>
      </w:r>
    </w:p>
    <w:p w14:paraId="67EF88DB" w14:textId="77777777" w:rsidR="00C27E72" w:rsidRDefault="007D2DEC">
      <w:pPr>
        <w:ind w:right="39" w:firstLine="5103"/>
        <w:rPr>
          <w:szCs w:val="24"/>
        </w:rPr>
      </w:pPr>
      <w:r>
        <w:rPr>
          <w:szCs w:val="24"/>
        </w:rPr>
        <w:t>Vilniaus rajono savivaldybės tarybos</w:t>
      </w:r>
    </w:p>
    <w:p w14:paraId="6B62157E" w14:textId="77777777" w:rsidR="00C27E72" w:rsidRDefault="007D2DEC">
      <w:pPr>
        <w:ind w:right="39" w:firstLine="5103"/>
        <w:rPr>
          <w:szCs w:val="24"/>
        </w:rPr>
      </w:pPr>
      <w:r>
        <w:rPr>
          <w:szCs w:val="24"/>
        </w:rPr>
        <w:t>2024 m. gruodžio 20 d. sprendimu Nr. T3-412</w:t>
      </w:r>
    </w:p>
    <w:p w14:paraId="2CDF7E1B" w14:textId="77777777" w:rsidR="00C27E72" w:rsidRDefault="00C27E72">
      <w:pPr>
        <w:ind w:right="39"/>
        <w:rPr>
          <w:szCs w:val="24"/>
        </w:rPr>
      </w:pPr>
    </w:p>
    <w:p w14:paraId="14F5AB0D" w14:textId="77777777" w:rsidR="00C27E72" w:rsidRDefault="007D2DEC">
      <w:pPr>
        <w:ind w:right="39"/>
        <w:jc w:val="center"/>
        <w:rPr>
          <w:b/>
          <w:szCs w:val="24"/>
        </w:rPr>
      </w:pPr>
      <w:r>
        <w:rPr>
          <w:b/>
          <w:szCs w:val="24"/>
        </w:rPr>
        <w:t>VILNIAUS RAJONO SAVIVALDYBĖS MERO REZERVO LĖŠŲ NAUDOJIMO TVARKOS APRAŠAS</w:t>
      </w:r>
    </w:p>
    <w:p w14:paraId="2FAFD203" w14:textId="77777777" w:rsidR="00C27E72" w:rsidRDefault="00C27E72">
      <w:pPr>
        <w:ind w:right="39"/>
        <w:jc w:val="center"/>
        <w:rPr>
          <w:b/>
          <w:szCs w:val="24"/>
        </w:rPr>
      </w:pPr>
    </w:p>
    <w:p w14:paraId="07189117" w14:textId="77777777" w:rsidR="00C27E72" w:rsidRDefault="007D2DEC">
      <w:pPr>
        <w:ind w:right="39"/>
        <w:jc w:val="center"/>
        <w:rPr>
          <w:b/>
          <w:szCs w:val="24"/>
        </w:rPr>
      </w:pPr>
      <w:r>
        <w:rPr>
          <w:b/>
          <w:szCs w:val="24"/>
        </w:rPr>
        <w:t>I SKYRIUS</w:t>
      </w:r>
    </w:p>
    <w:p w14:paraId="5482C438" w14:textId="77777777" w:rsidR="00C27E72" w:rsidRDefault="007D2DEC">
      <w:pPr>
        <w:ind w:right="39"/>
        <w:jc w:val="center"/>
        <w:rPr>
          <w:b/>
          <w:szCs w:val="24"/>
        </w:rPr>
      </w:pPr>
      <w:r>
        <w:rPr>
          <w:b/>
          <w:szCs w:val="24"/>
        </w:rPr>
        <w:t>BENDROSIOS NUOSTATOS</w:t>
      </w:r>
    </w:p>
    <w:p w14:paraId="37AE8045" w14:textId="77777777" w:rsidR="00C27E72" w:rsidRDefault="00C27E72">
      <w:pPr>
        <w:ind w:right="39"/>
        <w:jc w:val="center"/>
        <w:rPr>
          <w:b/>
          <w:szCs w:val="24"/>
        </w:rPr>
      </w:pPr>
    </w:p>
    <w:p w14:paraId="3C7BAE6F" w14:textId="77777777" w:rsidR="00C27E72" w:rsidRDefault="007D2DEC">
      <w:pPr>
        <w:ind w:right="39" w:firstLine="720"/>
        <w:jc w:val="both"/>
        <w:rPr>
          <w:szCs w:val="24"/>
        </w:rPr>
      </w:pPr>
      <w:r>
        <w:rPr>
          <w:szCs w:val="24"/>
        </w:rPr>
        <w:t>1. Vilniaus rajono savivaldybės (toliau – Savivaldybė) mero</w:t>
      </w:r>
      <w:r>
        <w:rPr>
          <w:b/>
          <w:bCs/>
          <w:szCs w:val="24"/>
        </w:rPr>
        <w:t xml:space="preserve"> </w:t>
      </w:r>
      <w:r>
        <w:rPr>
          <w:szCs w:val="24"/>
        </w:rPr>
        <w:t>rezervo lėšų naudojimo tvarkos aprašas (toliau – Aprašas) nustato Savivaldybės mero rezervo lėšų skyrimo,</w:t>
      </w:r>
      <w:r>
        <w:t xml:space="preserve"> </w:t>
      </w:r>
      <w:r>
        <w:rPr>
          <w:szCs w:val="24"/>
        </w:rPr>
        <w:t>naudojimo, apskaitos ir kontrolės tvarką.</w:t>
      </w:r>
    </w:p>
    <w:p w14:paraId="6FDFAA38" w14:textId="77777777" w:rsidR="00C27E72" w:rsidRDefault="007D2DEC">
      <w:pPr>
        <w:ind w:right="39" w:firstLine="720"/>
        <w:jc w:val="both"/>
        <w:rPr>
          <w:szCs w:val="24"/>
        </w:rPr>
      </w:pPr>
      <w:r>
        <w:rPr>
          <w:szCs w:val="24"/>
        </w:rPr>
        <w:t>2. Savivaldybės mero rezervas (toliau – Rezervas) yra Savivaldybės biudžeto asignavimų dalis.</w:t>
      </w:r>
    </w:p>
    <w:p w14:paraId="729214A3" w14:textId="77777777" w:rsidR="00C27E72" w:rsidRDefault="007D2DEC">
      <w:pPr>
        <w:ind w:right="39" w:firstLine="720"/>
        <w:jc w:val="both"/>
        <w:rPr>
          <w:szCs w:val="24"/>
        </w:rPr>
      </w:pPr>
      <w:r>
        <w:rPr>
          <w:szCs w:val="24"/>
        </w:rPr>
        <w:t>3. Rezervo dydis turi būti ne mažesnis kaip 0,25 procento ir ne didesnis kaip 1 procentas patvirtintų Savivaldybės biudžeto pajamų (neįskaitant valstybės dotacijų savivaldybės biudžetams). Rezervas gali būti didesnis kaip 1 procentas, kai yra paskelbta valstybės ir (arba) savivaldybės lygio ekstremalioji situacija ir (arba) įvesta nepaprastoji padėtis.</w:t>
      </w:r>
    </w:p>
    <w:p w14:paraId="692E9970" w14:textId="77777777" w:rsidR="00C27E72" w:rsidRDefault="007D2DEC">
      <w:pPr>
        <w:ind w:right="39" w:firstLine="720"/>
        <w:jc w:val="both"/>
        <w:rPr>
          <w:szCs w:val="24"/>
        </w:rPr>
      </w:pPr>
      <w:r>
        <w:rPr>
          <w:szCs w:val="24"/>
        </w:rPr>
        <w:t xml:space="preserve">4. Konkretų Rezervo dydį kasmet nustato Savivaldybės taryba, tvirtindama arba tikslindama atitinkamų metų Savivaldybės biudžetą. </w:t>
      </w:r>
    </w:p>
    <w:p w14:paraId="3BC15101" w14:textId="77777777" w:rsidR="00C27E72" w:rsidRDefault="007D2DEC">
      <w:pPr>
        <w:ind w:right="39" w:firstLine="720"/>
        <w:jc w:val="both"/>
        <w:rPr>
          <w:szCs w:val="24"/>
        </w:rPr>
      </w:pPr>
      <w:r>
        <w:rPr>
          <w:spacing w:val="-2"/>
          <w:szCs w:val="24"/>
        </w:rPr>
        <w:t>5. Rezervo lėšas skirsto Savivaldybės meras.</w:t>
      </w:r>
    </w:p>
    <w:p w14:paraId="024D5BC0" w14:textId="77777777" w:rsidR="00C27E72" w:rsidRDefault="00C27E72">
      <w:pPr>
        <w:ind w:right="39"/>
        <w:rPr>
          <w:szCs w:val="24"/>
        </w:rPr>
      </w:pPr>
    </w:p>
    <w:p w14:paraId="6CC573B1" w14:textId="77777777" w:rsidR="00C27E72" w:rsidRDefault="007D2DEC">
      <w:pPr>
        <w:ind w:right="39"/>
        <w:jc w:val="center"/>
        <w:rPr>
          <w:b/>
          <w:szCs w:val="24"/>
        </w:rPr>
      </w:pPr>
      <w:r>
        <w:rPr>
          <w:b/>
          <w:szCs w:val="24"/>
        </w:rPr>
        <w:t>II SKYRIUS</w:t>
      </w:r>
    </w:p>
    <w:p w14:paraId="6DF44E2D" w14:textId="77777777" w:rsidR="00C27E72" w:rsidRDefault="007D2DEC">
      <w:pPr>
        <w:ind w:right="39" w:firstLine="57"/>
        <w:jc w:val="center"/>
        <w:rPr>
          <w:b/>
          <w:szCs w:val="24"/>
        </w:rPr>
      </w:pPr>
      <w:r>
        <w:rPr>
          <w:b/>
          <w:szCs w:val="24"/>
        </w:rPr>
        <w:t>REZERVO LĖŠŲ SKYRIMAS,</w:t>
      </w:r>
      <w:r>
        <w:t xml:space="preserve"> </w:t>
      </w:r>
      <w:r>
        <w:rPr>
          <w:b/>
          <w:szCs w:val="24"/>
        </w:rPr>
        <w:t>NAUDOJIMAS IR KONTROLĖ</w:t>
      </w:r>
    </w:p>
    <w:p w14:paraId="50681573" w14:textId="77777777" w:rsidR="00C27E72" w:rsidRDefault="00C27E72">
      <w:pPr>
        <w:ind w:right="39"/>
        <w:jc w:val="center"/>
        <w:rPr>
          <w:b/>
          <w:szCs w:val="24"/>
        </w:rPr>
      </w:pPr>
    </w:p>
    <w:p w14:paraId="440BB56B" w14:textId="77777777" w:rsidR="00C27E72" w:rsidRDefault="007D2DEC">
      <w:pPr>
        <w:ind w:right="39" w:firstLine="720"/>
        <w:jc w:val="both"/>
        <w:rPr>
          <w:szCs w:val="24"/>
        </w:rPr>
      </w:pPr>
      <w:r>
        <w:rPr>
          <w:szCs w:val="24"/>
        </w:rPr>
        <w:t>6. Rezervo lėšos naudojamos:</w:t>
      </w:r>
    </w:p>
    <w:p w14:paraId="103B9F25" w14:textId="77777777" w:rsidR="00C27E72" w:rsidRDefault="007D2DEC">
      <w:pPr>
        <w:ind w:right="39" w:firstLine="720"/>
        <w:jc w:val="both"/>
        <w:rPr>
          <w:szCs w:val="24"/>
        </w:rPr>
      </w:pPr>
      <w:r>
        <w:rPr>
          <w:szCs w:val="24"/>
        </w:rPr>
        <w:t>6.1. ekstremaliosioms situacijoms ir (arba) ekstremaliesiems įvykiams likviduoti, jų padariniams šalinti ir padarytiems nuostoliams iš dalies kompensuoti;</w:t>
      </w:r>
    </w:p>
    <w:p w14:paraId="5A54F6AD" w14:textId="77777777" w:rsidR="00C27E72" w:rsidRDefault="007D2DEC">
      <w:pPr>
        <w:ind w:right="39" w:firstLine="720"/>
        <w:jc w:val="both"/>
        <w:rPr>
          <w:szCs w:val="24"/>
        </w:rPr>
      </w:pPr>
      <w:r>
        <w:rPr>
          <w:szCs w:val="24"/>
        </w:rPr>
        <w:t>6.2. gaisrų, stichinių nelaimių ir kitų įvykių padariniams likviduoti ir jų padarytiems nuostoliams iš dalies kompensuoti;</w:t>
      </w:r>
    </w:p>
    <w:p w14:paraId="08883972" w14:textId="77777777" w:rsidR="00C27E72" w:rsidRDefault="007D2DEC">
      <w:pPr>
        <w:ind w:right="39" w:firstLine="720"/>
        <w:jc w:val="both"/>
        <w:rPr>
          <w:szCs w:val="24"/>
        </w:rPr>
      </w:pPr>
      <w:r>
        <w:rPr>
          <w:szCs w:val="24"/>
        </w:rPr>
        <w:t>6.3. dėl nepaprastosios padėties atsiradusioms išlaidoms iš dalies apmokėti ir (arba) jos padariniams šalinti.</w:t>
      </w:r>
    </w:p>
    <w:p w14:paraId="6D1081C9" w14:textId="77777777" w:rsidR="00C27E72" w:rsidRDefault="007D2DEC">
      <w:pPr>
        <w:ind w:right="39" w:firstLine="720"/>
        <w:jc w:val="both"/>
        <w:rPr>
          <w:rFonts w:eastAsia="Calibri"/>
          <w:strike/>
          <w:szCs w:val="24"/>
          <w:lang w:eastAsia="lt-LT"/>
        </w:rPr>
      </w:pPr>
      <w:r>
        <w:rPr>
          <w:szCs w:val="24"/>
        </w:rPr>
        <w:t xml:space="preserve">7. Prašymus Savivaldybės merui dėl lėšų skyrimo turi teisę pateikti Savivaldybės administracijos skyrių vedėjai ir seniūnijų seniūnai, </w:t>
      </w:r>
      <w:r>
        <w:rPr>
          <w:rFonts w:eastAsia="Calibri"/>
          <w:szCs w:val="24"/>
        </w:rPr>
        <w:t xml:space="preserve">gavę prašymą iš  norinčių gauti lėšų iš Rezervo. Prašymas teikiamas ne vėliau kaip per Aprašo </w:t>
      </w:r>
      <w:r>
        <w:rPr>
          <w:szCs w:val="24"/>
          <w:lang w:eastAsia="lt-LT"/>
        </w:rPr>
        <w:t xml:space="preserve">10.1 ir </w:t>
      </w:r>
      <w:r>
        <w:rPr>
          <w:szCs w:val="24"/>
        </w:rPr>
        <w:t xml:space="preserve">10.2 </w:t>
      </w:r>
      <w:r>
        <w:rPr>
          <w:szCs w:val="24"/>
          <w:lang w:eastAsia="lt-LT"/>
        </w:rPr>
        <w:t xml:space="preserve">papunkčiuose nustatytus terminus </w:t>
      </w:r>
      <w:r>
        <w:rPr>
          <w:rFonts w:eastAsia="Calibri"/>
          <w:szCs w:val="24"/>
        </w:rPr>
        <w:t xml:space="preserve">nuo įvykio (ekstremaliosios situacijos, ekstremaliojo įvykio, gaisro, stichinės nelaimės). </w:t>
      </w:r>
    </w:p>
    <w:p w14:paraId="2D4FDEC7" w14:textId="77777777" w:rsidR="00C27E72" w:rsidRDefault="007D2DEC">
      <w:pPr>
        <w:ind w:right="39" w:firstLine="720"/>
        <w:jc w:val="both"/>
        <w:rPr>
          <w:szCs w:val="24"/>
        </w:rPr>
      </w:pPr>
      <w:r>
        <w:rPr>
          <w:rFonts w:eastAsia="Calibri"/>
          <w:szCs w:val="24"/>
        </w:rPr>
        <w:t xml:space="preserve">8. Ekstremaliosios situacijos vadovo, Ekstremaliųjų situacijų operacijų centro sprendimams ar pavedimams vykdyti būtinas lėšas Savivaldybės meras potvarkiu skiria be prašymo. Šiuo atveju Savivaldybės mero potvarkio projektą dėl lėšų skyrimo iš Rezervo Savivaldybės mero pavedimu rengia Savivaldybės administracijos padalinys ar darbuotojas, atsakingas už ekstremaliųjų situacijų padarinių likvidavimą. </w:t>
      </w:r>
    </w:p>
    <w:p w14:paraId="6C223B5A" w14:textId="77777777" w:rsidR="00C27E72" w:rsidRDefault="007D2DEC">
      <w:pPr>
        <w:ind w:right="39" w:firstLine="720"/>
        <w:rPr>
          <w:szCs w:val="24"/>
          <w:lang w:eastAsia="lt-LT"/>
        </w:rPr>
      </w:pPr>
      <w:r>
        <w:rPr>
          <w:szCs w:val="24"/>
          <w:lang w:eastAsia="lt-LT"/>
        </w:rPr>
        <w:t>9. Rezervo lėšos gali būti skiriamos:</w:t>
      </w:r>
    </w:p>
    <w:p w14:paraId="784BDB56" w14:textId="77777777" w:rsidR="00C27E72" w:rsidRDefault="007D2DEC">
      <w:pPr>
        <w:ind w:right="39" w:firstLine="720"/>
        <w:jc w:val="both"/>
        <w:rPr>
          <w:szCs w:val="24"/>
          <w:lang w:eastAsia="lt-LT"/>
        </w:rPr>
      </w:pPr>
      <w:r>
        <w:rPr>
          <w:szCs w:val="24"/>
          <w:lang w:eastAsia="lt-LT"/>
        </w:rPr>
        <w:t>9.1.</w:t>
      </w:r>
      <w:r>
        <w:rPr>
          <w:szCs w:val="24"/>
        </w:rPr>
        <w:t xml:space="preserve">Vilniaus rajono gyventojams (toliau – Asmenys) deklaravusiems savo gyvenamąją vietą Savivaldybės teritorijoje ir turintiems nuosavybės teise registruoto nekilnojamojo turto Vilniaus rajone, kurių  gyvenamieji namai ir butai ar kiti ūkio paskirties pastatai (toliau – Turtas) nukentėjo nuo gaisrų, stichinių nelaimių ir kitų įvykių. Jei yra keli Turto savininkai, lėšos skiriamos proporcingai turimo turto daliai, kiekvienas iš savininkų turi kreiptis asmeniškai. </w:t>
      </w:r>
      <w:r>
        <w:rPr>
          <w:color w:val="000000"/>
          <w:sz w:val="23"/>
          <w:szCs w:val="23"/>
        </w:rPr>
        <w:t>Vienam Asmeniui gali būti skiriamas finansavimas už vieną Turto vienetą (nepriklausomai nuo įvykio metu apgadintų pastatų kiekio) ne dažniau kaip vieną kartą per metus</w:t>
      </w:r>
      <w:r>
        <w:rPr>
          <w:szCs w:val="24"/>
          <w:lang w:eastAsia="lt-LT"/>
        </w:rPr>
        <w:t>:</w:t>
      </w:r>
    </w:p>
    <w:p w14:paraId="112A64F6" w14:textId="77777777" w:rsidR="00C27E72" w:rsidRDefault="007D2DEC">
      <w:pPr>
        <w:ind w:right="39" w:firstLine="720"/>
        <w:jc w:val="both"/>
        <w:rPr>
          <w:szCs w:val="24"/>
        </w:rPr>
      </w:pPr>
      <w:r>
        <w:rPr>
          <w:szCs w:val="24"/>
        </w:rPr>
        <w:t xml:space="preserve">9.1.1. Sudegus gyvenamajam namui, butui – ne didesnė kaip 7 000 </w:t>
      </w:r>
      <w:r>
        <w:rPr>
          <w:szCs w:val="24"/>
          <w:lang w:eastAsia="lt-LT"/>
        </w:rPr>
        <w:t>Eur</w:t>
      </w:r>
      <w:r>
        <w:rPr>
          <w:szCs w:val="24"/>
        </w:rPr>
        <w:t xml:space="preserve"> suma;</w:t>
      </w:r>
    </w:p>
    <w:p w14:paraId="226FE871" w14:textId="77777777" w:rsidR="00C27E72" w:rsidRDefault="007D2DEC">
      <w:pPr>
        <w:ind w:right="39" w:firstLine="720"/>
        <w:jc w:val="both"/>
        <w:rPr>
          <w:szCs w:val="24"/>
        </w:rPr>
      </w:pPr>
      <w:r>
        <w:rPr>
          <w:szCs w:val="24"/>
        </w:rPr>
        <w:lastRenderedPageBreak/>
        <w:t>9.1.2. Įvykus gaisrui gyvenamajame name, bute ar įvykus stichinei nelaimei ir nukentėjus gyvenamajam namui, butui – ne didesnė kaip 3 500</w:t>
      </w:r>
      <w:r>
        <w:rPr>
          <w:color w:val="FF0000"/>
          <w:szCs w:val="24"/>
        </w:rPr>
        <w:t xml:space="preserve"> </w:t>
      </w:r>
      <w:r>
        <w:rPr>
          <w:szCs w:val="24"/>
          <w:lang w:eastAsia="lt-LT"/>
        </w:rPr>
        <w:t>Eur</w:t>
      </w:r>
      <w:r>
        <w:rPr>
          <w:color w:val="FF0000"/>
          <w:szCs w:val="24"/>
        </w:rPr>
        <w:t xml:space="preserve"> </w:t>
      </w:r>
      <w:r>
        <w:rPr>
          <w:szCs w:val="24"/>
        </w:rPr>
        <w:t>suma;</w:t>
      </w:r>
    </w:p>
    <w:p w14:paraId="3A34FDEF" w14:textId="77777777" w:rsidR="00C27E72" w:rsidRDefault="007D2DEC">
      <w:pPr>
        <w:ind w:left="720" w:right="39"/>
        <w:jc w:val="both"/>
        <w:rPr>
          <w:szCs w:val="24"/>
        </w:rPr>
      </w:pPr>
      <w:r>
        <w:rPr>
          <w:szCs w:val="24"/>
        </w:rPr>
        <w:t xml:space="preserve">9.1.3. Sudegus sodo namui – ne didesnė kaip 3 000 </w:t>
      </w:r>
      <w:r>
        <w:rPr>
          <w:szCs w:val="24"/>
          <w:lang w:eastAsia="lt-LT"/>
        </w:rPr>
        <w:t>Eur</w:t>
      </w:r>
      <w:r>
        <w:rPr>
          <w:szCs w:val="24"/>
        </w:rPr>
        <w:t xml:space="preserve"> suma;</w:t>
      </w:r>
    </w:p>
    <w:p w14:paraId="1DFE8D39" w14:textId="77777777" w:rsidR="00C27E72" w:rsidRDefault="007D2DEC">
      <w:pPr>
        <w:ind w:right="39" w:firstLine="720"/>
        <w:jc w:val="both"/>
        <w:rPr>
          <w:szCs w:val="24"/>
        </w:rPr>
      </w:pPr>
      <w:r>
        <w:rPr>
          <w:szCs w:val="24"/>
        </w:rPr>
        <w:t>9.1.4. Įvykus gaisrui ar įvykus stichinei nelaimei ir nukentėjus sodo namui – ne didesnė kaip 1 500 eurų suma;</w:t>
      </w:r>
    </w:p>
    <w:p w14:paraId="497C7D8D" w14:textId="77777777" w:rsidR="00C27E72" w:rsidRDefault="007D2DEC">
      <w:pPr>
        <w:ind w:left="720" w:right="39"/>
        <w:jc w:val="both"/>
        <w:rPr>
          <w:szCs w:val="24"/>
        </w:rPr>
      </w:pPr>
      <w:r>
        <w:rPr>
          <w:szCs w:val="24"/>
        </w:rPr>
        <w:t xml:space="preserve">9.1.5. Sudegus ūkiniam pastatui – ne didesnė kaip 1 000 </w:t>
      </w:r>
      <w:r>
        <w:rPr>
          <w:szCs w:val="24"/>
          <w:lang w:eastAsia="lt-LT"/>
        </w:rPr>
        <w:t>Eur</w:t>
      </w:r>
      <w:r>
        <w:rPr>
          <w:szCs w:val="24"/>
        </w:rPr>
        <w:t xml:space="preserve"> suma;</w:t>
      </w:r>
    </w:p>
    <w:p w14:paraId="47E96CC1" w14:textId="77777777" w:rsidR="00C27E72" w:rsidRDefault="007D2DEC">
      <w:pPr>
        <w:ind w:right="39" w:firstLine="720"/>
        <w:jc w:val="both"/>
        <w:rPr>
          <w:szCs w:val="24"/>
        </w:rPr>
      </w:pPr>
      <w:r>
        <w:rPr>
          <w:szCs w:val="24"/>
        </w:rPr>
        <w:t xml:space="preserve">9.1.6. Įvykus gaisrui ūkiniame pastate ar  įvykus stichinei nelaimei nukentėjus ūkiniam pastatui – ne didesnė kaip 500 </w:t>
      </w:r>
      <w:r>
        <w:rPr>
          <w:szCs w:val="24"/>
          <w:lang w:eastAsia="lt-LT"/>
        </w:rPr>
        <w:t>Eur</w:t>
      </w:r>
      <w:r>
        <w:rPr>
          <w:szCs w:val="24"/>
        </w:rPr>
        <w:t xml:space="preserve"> suma.</w:t>
      </w:r>
    </w:p>
    <w:p w14:paraId="60FDFC7B" w14:textId="77777777" w:rsidR="00C27E72" w:rsidRDefault="007D2DEC">
      <w:pPr>
        <w:ind w:right="39" w:firstLine="720"/>
        <w:jc w:val="both"/>
        <w:rPr>
          <w:szCs w:val="24"/>
        </w:rPr>
      </w:pPr>
      <w:r>
        <w:rPr>
          <w:szCs w:val="24"/>
        </w:rPr>
        <w:t xml:space="preserve">9.2. Įvykus gaisrui, stichinei nelaimei, ekstremaliajam įvykiui ar ekstremaliajai situacijai, kurios metu sugadinami ar sunaikinami Vilniaus rajono </w:t>
      </w:r>
      <w:r>
        <w:t>daugiabučio namo bendrojo naudojimo objektai</w:t>
      </w:r>
      <w:r>
        <w:rPr>
          <w:szCs w:val="24"/>
        </w:rPr>
        <w:t xml:space="preserve"> ar patalpos, finansuojamos (arba kompensuojamos) </w:t>
      </w:r>
      <w:r>
        <w:t>bendrojo naudojimo objektų</w:t>
      </w:r>
      <w:r>
        <w:rPr>
          <w:szCs w:val="24"/>
        </w:rPr>
        <w:t xml:space="preserve"> ar patalpų remonto išlaidos, neviršijant maksimalios 120 tūkst. Eur sumos. Kompensuojamos išlaidos apskaičiuojamos namo naudingam plotui skiriant ne didesnę nei 180 Eur/m</w:t>
      </w:r>
      <w:r>
        <w:rPr>
          <w:szCs w:val="24"/>
          <w:vertAlign w:val="superscript"/>
        </w:rPr>
        <w:t>2</w:t>
      </w:r>
      <w:r>
        <w:rPr>
          <w:szCs w:val="24"/>
        </w:rPr>
        <w:t xml:space="preserve"> sumą ir neviršijant 70 procentų remonto kainos. Kompensacija gali būti svarstoma ir skiriama, jei namo butų savininkai balsų dauguma priėmė sprendimą dėl namo bendrojo naudojimo objektų remonto ir kreipimosi dėl pagalbos.</w:t>
      </w:r>
    </w:p>
    <w:p w14:paraId="0ACBE8C2" w14:textId="77777777" w:rsidR="00C27E72" w:rsidRDefault="007D2DEC">
      <w:pPr>
        <w:ind w:right="39" w:firstLine="720"/>
        <w:jc w:val="both"/>
        <w:rPr>
          <w:rFonts w:eastAsia="Calibri"/>
          <w:szCs w:val="24"/>
        </w:rPr>
      </w:pPr>
      <w:r>
        <w:rPr>
          <w:szCs w:val="24"/>
          <w:lang w:eastAsia="lt-LT"/>
        </w:rPr>
        <w:t>9.3. Savivaldybės biudžetinėms</w:t>
      </w:r>
      <w:r>
        <w:rPr>
          <w:color w:val="FF0000"/>
          <w:szCs w:val="24"/>
          <w:lang w:eastAsia="lt-LT"/>
        </w:rPr>
        <w:t xml:space="preserve"> </w:t>
      </w:r>
      <w:r>
        <w:rPr>
          <w:szCs w:val="24"/>
          <w:lang w:eastAsia="lt-LT"/>
        </w:rPr>
        <w:t xml:space="preserve">įstaigoms, seniūnijoms, lėšos skiriamos </w:t>
      </w:r>
      <w:r>
        <w:rPr>
          <w:szCs w:val="24"/>
        </w:rPr>
        <w:t xml:space="preserve">ekstremaliųjų situacijų likvidavimo, jų padarinių šalinimo ar laikino Asmenų apgyvendinimo po gaisrų ir stichinių nelaimių išlaidoms apmokėti. Lėšos apmokamos pagal pateiktus išlaidas pagrindžiančius dokumentus. Išlaidų pagrįstumą svarsto </w:t>
      </w:r>
      <w:r>
        <w:rPr>
          <w:rFonts w:eastAsia="Calibri"/>
          <w:szCs w:val="24"/>
        </w:rPr>
        <w:t>Savivaldybės mero potvarkiu sudaryta komisija (toliau – Komisija):</w:t>
      </w:r>
    </w:p>
    <w:p w14:paraId="4BAD076F" w14:textId="77777777" w:rsidR="00C27E72" w:rsidRDefault="007D2DEC">
      <w:pPr>
        <w:ind w:right="39" w:firstLine="720"/>
        <w:jc w:val="both"/>
        <w:rPr>
          <w:szCs w:val="24"/>
        </w:rPr>
      </w:pPr>
      <w:r>
        <w:rPr>
          <w:rFonts w:eastAsia="Calibri"/>
          <w:szCs w:val="24"/>
        </w:rPr>
        <w:t>9.3.1.</w:t>
      </w:r>
      <w:r>
        <w:rPr>
          <w:szCs w:val="24"/>
        </w:rPr>
        <w:t xml:space="preserve"> Ekstremaliųjų situacijų padarinių šalinimui</w:t>
      </w:r>
      <w:r>
        <w:rPr>
          <w:rFonts w:eastAsia="Calibri"/>
          <w:szCs w:val="24"/>
        </w:rPr>
        <w:t xml:space="preserve"> </w:t>
      </w:r>
      <w:r>
        <w:rPr>
          <w:szCs w:val="24"/>
        </w:rPr>
        <w:t>apmokėti</w:t>
      </w:r>
      <w:r>
        <w:rPr>
          <w:szCs w:val="24"/>
          <w:lang w:eastAsia="lt-LT"/>
        </w:rPr>
        <w:t xml:space="preserve"> suma negali būti didesnė kaip 7000 Eur</w:t>
      </w:r>
      <w:r>
        <w:rPr>
          <w:szCs w:val="24"/>
        </w:rPr>
        <w:t>;</w:t>
      </w:r>
    </w:p>
    <w:p w14:paraId="48030690" w14:textId="77777777" w:rsidR="00C27E72" w:rsidRDefault="007D2DEC">
      <w:pPr>
        <w:ind w:right="39" w:firstLine="720"/>
        <w:jc w:val="both"/>
        <w:rPr>
          <w:szCs w:val="24"/>
          <w:lang w:eastAsia="lt-LT"/>
        </w:rPr>
      </w:pPr>
      <w:r>
        <w:rPr>
          <w:szCs w:val="24"/>
          <w:lang w:eastAsia="lt-LT"/>
        </w:rPr>
        <w:t xml:space="preserve">9.3.2. </w:t>
      </w:r>
      <w:r>
        <w:rPr>
          <w:szCs w:val="24"/>
          <w:shd w:val="clear" w:color="auto" w:fill="FFFFFF"/>
          <w:lang w:eastAsia="lt-LT"/>
        </w:rPr>
        <w:t>Laikino Asmenų, deklaravusių savo gyvenamąją vietą Savivaldybės teritorijoje</w:t>
      </w:r>
      <w:r>
        <w:rPr>
          <w:rFonts w:ascii="Aptos" w:hAnsi="Aptos" w:cs="Aptos"/>
          <w:szCs w:val="24"/>
          <w:shd w:val="clear" w:color="auto" w:fill="FFFFFF"/>
          <w:lang w:eastAsia="lt-LT"/>
        </w:rPr>
        <w:t>,</w:t>
      </w:r>
      <w:r>
        <w:rPr>
          <w:szCs w:val="24"/>
          <w:shd w:val="clear" w:color="auto" w:fill="FFFFFF"/>
          <w:lang w:eastAsia="lt-LT"/>
        </w:rPr>
        <w:t xml:space="preserve"> apgyvendinimo po gaisrų ir stichinių nelaimių</w:t>
      </w:r>
      <w:r>
        <w:rPr>
          <w:szCs w:val="24"/>
          <w:lang w:eastAsia="lt-LT"/>
        </w:rPr>
        <w:t xml:space="preserve"> išlaidoms apmokėti suma negali būti didesnė kaip 200 Eur asmeniui arba 400 Eur šeimai per mėnesį. Šios išlaidos gali būti dengiamos ne ilgiau kaip 12 mėn. </w:t>
      </w:r>
      <w:r>
        <w:rPr>
          <w:szCs w:val="24"/>
        </w:rPr>
        <w:t xml:space="preserve">Tuo atveju, jei išmokama kompensacija, nustatyta 9.1.1.-9.1.4. papunkčiuose, </w:t>
      </w:r>
      <w:r>
        <w:rPr>
          <w:rFonts w:ascii="Aptos" w:hAnsi="Aptos" w:cs="Aptos"/>
          <w:szCs w:val="24"/>
          <w:lang w:eastAsia="lt-LT"/>
        </w:rPr>
        <w:t>–</w:t>
      </w:r>
      <w:r>
        <w:rPr>
          <w:szCs w:val="24"/>
        </w:rPr>
        <w:t xml:space="preserve"> jau kitą mėnesį stabdomas išlaidų už laikiną apgyvendinimą apmokėjimas.  </w:t>
      </w:r>
    </w:p>
    <w:p w14:paraId="371FA8F7" w14:textId="77777777" w:rsidR="00C27E72" w:rsidRDefault="007D2DEC">
      <w:pPr>
        <w:ind w:right="39" w:firstLine="720"/>
        <w:jc w:val="both"/>
        <w:rPr>
          <w:szCs w:val="24"/>
        </w:rPr>
      </w:pPr>
      <w:r>
        <w:rPr>
          <w:szCs w:val="24"/>
          <w:lang w:eastAsia="lt-LT"/>
        </w:rPr>
        <w:t>9.4.</w:t>
      </w:r>
      <w:r>
        <w:rPr>
          <w:szCs w:val="24"/>
        </w:rPr>
        <w:t xml:space="preserve"> Lėšos kitiems juridiniams asmenims, ne pelno siekiančioms įstaigoms, kurios savo </w:t>
      </w:r>
      <w:r>
        <w:rPr>
          <w:rFonts w:ascii="Segoe UI" w:hAnsi="Segoe UI" w:cs="Segoe UI"/>
          <w:sz w:val="18"/>
          <w:szCs w:val="24"/>
        </w:rPr>
        <w:t>buveinę yra deklaravę Savivaldybės teritorijoje,</w:t>
      </w:r>
      <w:r>
        <w:rPr>
          <w:szCs w:val="24"/>
        </w:rPr>
        <w:t xml:space="preserve"> gali būti skiriamos ekstremaliųjų situacijų padarinių likvidavimo ir/ar jų padarinių šalinimo išlaidoms apmokėti. Lėšos apmokamos pagal pateiktus išlaidas pagrindžiančius dokumentus. Dėl kompensavimo poreikio ir prašymo pagrįstumo svarsto Komisija. Lėšos neskiriamos juridinio asmens nekilnojamam turtui padarytiems nuostoliams kompensuoti.</w:t>
      </w:r>
    </w:p>
    <w:p w14:paraId="54A1DFB9" w14:textId="77777777" w:rsidR="00C27E72" w:rsidRDefault="007D2DEC">
      <w:pPr>
        <w:ind w:right="39" w:firstLine="720"/>
        <w:jc w:val="both"/>
        <w:rPr>
          <w:szCs w:val="24"/>
          <w:lang w:eastAsia="lt-LT"/>
        </w:rPr>
      </w:pPr>
      <w:r>
        <w:rPr>
          <w:szCs w:val="24"/>
          <w:lang w:eastAsia="lt-LT"/>
        </w:rPr>
        <w:t>10. Prašymų kompensuoti teikimas:</w:t>
      </w:r>
    </w:p>
    <w:p w14:paraId="6110ADCC" w14:textId="77777777" w:rsidR="00C27E72" w:rsidRDefault="007D2DEC">
      <w:pPr>
        <w:ind w:right="39" w:firstLine="720"/>
        <w:jc w:val="both"/>
        <w:rPr>
          <w:rFonts w:eastAsia="Calibri"/>
          <w:szCs w:val="24"/>
        </w:rPr>
      </w:pPr>
      <w:r>
        <w:rPr>
          <w:szCs w:val="24"/>
          <w:lang w:eastAsia="lt-LT"/>
        </w:rPr>
        <w:t>10.1. Asmenys motyvuotus prašymus teikia seniūnijų seniūnams ne vėliau kaip per 60 kalendorinių dienų nuo Aprašo 6 punkte nurodytų aplinkybių atsiradimo. K</w:t>
      </w:r>
      <w:r>
        <w:rPr>
          <w:szCs w:val="24"/>
        </w:rPr>
        <w:t xml:space="preserve">artu su prašymu pateikia finansavimo poreikį pagrindžiančius dokumentus, </w:t>
      </w:r>
      <w:r>
        <w:rPr>
          <w:rFonts w:eastAsia="Calibri"/>
          <w:szCs w:val="24"/>
        </w:rPr>
        <w:t>nuosavybės dokumentus, Priešgaisrinės gelbėjimo tarnybos pažymą (gaisro ar stichinės nelaimės atveju)</w:t>
      </w:r>
      <w:r>
        <w:rPr>
          <w:szCs w:val="24"/>
        </w:rPr>
        <w:t xml:space="preserve">, sutartis ir/ar kitus </w:t>
      </w:r>
      <w:r>
        <w:rPr>
          <w:rFonts w:eastAsia="Calibri"/>
          <w:szCs w:val="24"/>
        </w:rPr>
        <w:t xml:space="preserve">žalą patvirtinančius dokumentus, 9.2. papunktyje nurodytu atveju – butų savininkų balsų dauguma priimtą sprendimą </w:t>
      </w:r>
      <w:r>
        <w:rPr>
          <w:szCs w:val="24"/>
        </w:rPr>
        <w:t xml:space="preserve">dėl namo bendrojo naudojimo objektų remonto ir kreipimosi dėl pagalbos, pateikia bendrojo naudojimo objektų remonto sąmatą. Seniūnai, gavę Asmens ar daugiabučio namo valdytojo prašymą, parengia raštą dėl Rezervo lėšų skyrimo ir teikia Savivaldybės merui, kartu su Asmenų pateiktais išlaidas pagrindžiančiais dokumentais ir aktais, pateikia išrašus iš nekilnojamojo turto registro, nurodo </w:t>
      </w:r>
      <w:r>
        <w:rPr>
          <w:rFonts w:eastAsia="Calibri"/>
          <w:szCs w:val="24"/>
        </w:rPr>
        <w:t xml:space="preserve">duomenis apie Asmenį, banko sąskaitą, į kurią prašomą pervesti lėšas, užpildytą buities tyrimo </w:t>
      </w:r>
      <w:r>
        <w:rPr>
          <w:szCs w:val="24"/>
        </w:rPr>
        <w:t>aktą. Savininko mirties atveju, kol bus sutvarkyti paveldėjimo dokumentai, pašymų kompensacijai pateikimų terminas pratęsiamas iki 120 kalendorinių dienų (su galimybe pratęsti, pateikiant motyvuotą prašymą dėl užtrukusių paveldėjimo dokumentų tvarkymosi);</w:t>
      </w:r>
    </w:p>
    <w:p w14:paraId="57E85309" w14:textId="77777777" w:rsidR="00C27E72" w:rsidRDefault="007D2DEC">
      <w:pPr>
        <w:ind w:right="39" w:firstLine="720"/>
        <w:jc w:val="both"/>
        <w:rPr>
          <w:szCs w:val="24"/>
        </w:rPr>
      </w:pPr>
      <w:r>
        <w:rPr>
          <w:szCs w:val="24"/>
        </w:rPr>
        <w:t xml:space="preserve">10.2. </w:t>
      </w:r>
      <w:r>
        <w:rPr>
          <w:szCs w:val="24"/>
          <w:lang w:eastAsia="lt-LT"/>
        </w:rPr>
        <w:t xml:space="preserve">Savivaldybės biudžetinės įstaigos, seniūnijos, </w:t>
      </w:r>
      <w:r>
        <w:rPr>
          <w:szCs w:val="24"/>
        </w:rPr>
        <w:t>kiti juridiniais asmenys ir ne pelno siekiančios įstaigos ekstremaliųjų situacijų padarinių likvidavimo ir/ar jų padarinių šalinimo išlaidoms apmokėti motyvuotus pašymus su pagrindžiančiais dokumentais per 30 dienų po įvykio pateikia Savivaldybės merui.</w:t>
      </w:r>
    </w:p>
    <w:p w14:paraId="06C657A4" w14:textId="77777777" w:rsidR="00C27E72" w:rsidRDefault="007D2DEC">
      <w:pPr>
        <w:ind w:right="39" w:firstLine="720"/>
        <w:jc w:val="both"/>
        <w:rPr>
          <w:rFonts w:eastAsia="Calibri"/>
          <w:szCs w:val="24"/>
        </w:rPr>
      </w:pPr>
      <w:r>
        <w:rPr>
          <w:szCs w:val="24"/>
          <w:lang w:eastAsia="lt-LT"/>
        </w:rPr>
        <w:lastRenderedPageBreak/>
        <w:t xml:space="preserve">11. </w:t>
      </w:r>
      <w:r>
        <w:rPr>
          <w:rFonts w:eastAsia="Calibri"/>
          <w:szCs w:val="24"/>
        </w:rPr>
        <w:t>Prašymų dėl lėšų skyrimo pagrįstumą nagrinėja Komisija, kuri:</w:t>
      </w:r>
    </w:p>
    <w:p w14:paraId="021CDA1E" w14:textId="77777777" w:rsidR="00C27E72" w:rsidRDefault="007D2DEC">
      <w:pPr>
        <w:ind w:right="39" w:firstLine="720"/>
        <w:jc w:val="both"/>
        <w:rPr>
          <w:szCs w:val="24"/>
        </w:rPr>
      </w:pPr>
      <w:r>
        <w:rPr>
          <w:szCs w:val="24"/>
        </w:rPr>
        <w:t xml:space="preserve">11.1. nagrinėja, ar prašyme nurodytos aplinkybės pagrįstos, ar atitinka Tvarkos aprašo 6 punkte nurodytus poreikius; </w:t>
      </w:r>
    </w:p>
    <w:p w14:paraId="27E85278" w14:textId="77777777" w:rsidR="00C27E72" w:rsidRDefault="007D2DEC">
      <w:pPr>
        <w:ind w:right="39" w:firstLine="720"/>
        <w:jc w:val="both"/>
        <w:rPr>
          <w:szCs w:val="24"/>
        </w:rPr>
      </w:pPr>
      <w:r>
        <w:rPr>
          <w:szCs w:val="24"/>
        </w:rPr>
        <w:t>11.2. prireikus kreipiasi į kompetentingas institucijas ir įstaigas dėl informacijos, būtinos nagrinėjant prašymą, siekdama nustatyti Tvarkos aprašo 6 punkte nurodytas aplinkybes;</w:t>
      </w:r>
    </w:p>
    <w:p w14:paraId="16B08776" w14:textId="77777777" w:rsidR="00C27E72" w:rsidRDefault="007D2DEC">
      <w:pPr>
        <w:ind w:right="39" w:firstLine="720"/>
        <w:jc w:val="both"/>
        <w:rPr>
          <w:szCs w:val="24"/>
        </w:rPr>
      </w:pPr>
      <w:r>
        <w:rPr>
          <w:rFonts w:eastAsia="Calibri"/>
          <w:szCs w:val="24"/>
        </w:rPr>
        <w:t>11.3. per 20 darbo dienų išnagrinėja pateiktą prašymą ir teikia siūlymus Savivaldybės merui dėl prašymo tenkinimo.</w:t>
      </w:r>
      <w:r>
        <w:rPr>
          <w:szCs w:val="24"/>
        </w:rPr>
        <w:t xml:space="preserve">  </w:t>
      </w:r>
    </w:p>
    <w:p w14:paraId="0D497763" w14:textId="77777777" w:rsidR="00C27E72" w:rsidRDefault="007D2DEC">
      <w:pPr>
        <w:ind w:right="39" w:firstLine="720"/>
        <w:jc w:val="both"/>
        <w:rPr>
          <w:szCs w:val="24"/>
        </w:rPr>
      </w:pPr>
      <w:r>
        <w:rPr>
          <w:szCs w:val="24"/>
        </w:rPr>
        <w:t xml:space="preserve">12. </w:t>
      </w:r>
      <w:r>
        <w:rPr>
          <w:rFonts w:eastAsia="Calibri"/>
          <w:szCs w:val="24"/>
        </w:rPr>
        <w:t xml:space="preserve">Komisija turi teisę pareikalauti iš subjekto, kurio prašymas vertinamas, papildomos informacijos, susijusios su prašymo svarstymu. Prašymo teikėjas per Komisijos nustatytą terminą, kuris negali būti trumpesnis kaip 10 darbo dienų, privalo pateikti šią informaciją. Nepateikus prašomos informacijos, prašymas nenagrinėjamas. </w:t>
      </w:r>
    </w:p>
    <w:p w14:paraId="5675C94F" w14:textId="77777777" w:rsidR="00C27E72" w:rsidRDefault="007D2DEC">
      <w:pPr>
        <w:ind w:firstLine="720"/>
        <w:jc w:val="both"/>
        <w:rPr>
          <w:rFonts w:eastAsia="Calibri"/>
          <w:szCs w:val="24"/>
        </w:rPr>
      </w:pPr>
      <w:r>
        <w:rPr>
          <w:rFonts w:eastAsia="Calibri"/>
          <w:szCs w:val="24"/>
        </w:rPr>
        <w:t xml:space="preserve">13. Savivaldybės meras, atsižvelgęs į Komisijos siūlymą, per 5 d. d. priima sprendimą: </w:t>
      </w:r>
    </w:p>
    <w:p w14:paraId="7FB8CC50" w14:textId="77777777" w:rsidR="00C27E72" w:rsidRDefault="007D2DEC">
      <w:pPr>
        <w:ind w:firstLine="720"/>
        <w:rPr>
          <w:rFonts w:eastAsia="Calibri"/>
          <w:szCs w:val="24"/>
        </w:rPr>
      </w:pPr>
      <w:r>
        <w:rPr>
          <w:rFonts w:eastAsia="Calibri"/>
          <w:szCs w:val="24"/>
        </w:rPr>
        <w:t>13.1. prašymo netenkinti;</w:t>
      </w:r>
    </w:p>
    <w:p w14:paraId="6F83197D" w14:textId="77777777" w:rsidR="00C27E72" w:rsidRDefault="007D2DEC">
      <w:pPr>
        <w:ind w:firstLine="720"/>
        <w:rPr>
          <w:rFonts w:eastAsia="Calibri"/>
          <w:szCs w:val="24"/>
        </w:rPr>
      </w:pPr>
      <w:r>
        <w:rPr>
          <w:rFonts w:eastAsia="Calibri"/>
          <w:szCs w:val="24"/>
        </w:rPr>
        <w:t>13.2. prašymą tenkinti;</w:t>
      </w:r>
    </w:p>
    <w:p w14:paraId="1375B724" w14:textId="77777777" w:rsidR="00C27E72" w:rsidRDefault="007D2DEC">
      <w:pPr>
        <w:ind w:firstLine="720"/>
        <w:rPr>
          <w:rFonts w:eastAsia="Calibri"/>
          <w:szCs w:val="24"/>
        </w:rPr>
      </w:pPr>
      <w:r>
        <w:rPr>
          <w:rFonts w:eastAsia="Calibri"/>
          <w:szCs w:val="24"/>
        </w:rPr>
        <w:t xml:space="preserve">13.3. prašymą tenkinti iš dalies. </w:t>
      </w:r>
    </w:p>
    <w:p w14:paraId="25FF94C1" w14:textId="77777777" w:rsidR="00C27E72" w:rsidRDefault="007D2DEC">
      <w:pPr>
        <w:ind w:firstLine="720"/>
        <w:jc w:val="both"/>
        <w:rPr>
          <w:rFonts w:eastAsia="Calibri"/>
          <w:szCs w:val="24"/>
        </w:rPr>
      </w:pPr>
      <w:r>
        <w:rPr>
          <w:rFonts w:eastAsia="Calibri"/>
          <w:szCs w:val="24"/>
        </w:rPr>
        <w:t xml:space="preserve">14. </w:t>
      </w:r>
      <w:r>
        <w:rPr>
          <w:szCs w:val="24"/>
        </w:rPr>
        <w:t>Apie pateikto prašymo nagrinėjimo rezultatus</w:t>
      </w:r>
      <w:r>
        <w:rPr>
          <w:rFonts w:eastAsia="Calibri"/>
          <w:szCs w:val="24"/>
        </w:rPr>
        <w:t xml:space="preserve"> </w:t>
      </w:r>
      <w:r>
        <w:rPr>
          <w:szCs w:val="24"/>
        </w:rPr>
        <w:t xml:space="preserve">prašymą pateikęs subjektas informuojamas Lietuvos Respublikos viešojo administravimo įstatymo nustatyta tvarka bei terminais. Jei prašymas netenkinamas, nurodoma netenkinimo priežastis. </w:t>
      </w:r>
    </w:p>
    <w:p w14:paraId="58FA7E30" w14:textId="77777777" w:rsidR="00C27E72" w:rsidRDefault="007D2DEC">
      <w:pPr>
        <w:ind w:firstLine="720"/>
        <w:jc w:val="both"/>
        <w:rPr>
          <w:rFonts w:eastAsia="Calibri"/>
          <w:szCs w:val="24"/>
        </w:rPr>
      </w:pPr>
      <w:r>
        <w:rPr>
          <w:rFonts w:eastAsia="Calibri"/>
          <w:szCs w:val="24"/>
        </w:rPr>
        <w:t xml:space="preserve">15. </w:t>
      </w:r>
      <w:r>
        <w:rPr>
          <w:szCs w:val="24"/>
        </w:rPr>
        <w:t>Rezervo lėšas potvarkiu skiria Savivaldybės meras.</w:t>
      </w:r>
    </w:p>
    <w:p w14:paraId="1CC7DB9E" w14:textId="77777777" w:rsidR="00C27E72" w:rsidRDefault="007D2DEC">
      <w:pPr>
        <w:ind w:firstLine="720"/>
        <w:jc w:val="both"/>
        <w:rPr>
          <w:rFonts w:eastAsia="Calibri"/>
          <w:szCs w:val="24"/>
        </w:rPr>
      </w:pPr>
      <w:r>
        <w:rPr>
          <w:rFonts w:eastAsia="Calibri"/>
          <w:szCs w:val="24"/>
        </w:rPr>
        <w:t xml:space="preserve">16. Skiriamų lėšų dydžiai </w:t>
      </w:r>
      <w:r>
        <w:rPr>
          <w:szCs w:val="24"/>
        </w:rPr>
        <w:t>Tvarkos aprašo 6 punkte nurodytiems tikslams</w:t>
      </w:r>
      <w:r>
        <w:rPr>
          <w:rFonts w:eastAsia="Calibri"/>
          <w:szCs w:val="24"/>
        </w:rPr>
        <w:t xml:space="preserve"> nustatomi Komisijos teikimu Savivaldybės mero potvarkiu atsižvelgiant į patvirtintą finansavimą. </w:t>
      </w:r>
    </w:p>
    <w:p w14:paraId="3A41109E" w14:textId="77777777" w:rsidR="00C27E72" w:rsidRDefault="007D2DEC">
      <w:pPr>
        <w:ind w:firstLine="720"/>
        <w:jc w:val="both"/>
        <w:rPr>
          <w:szCs w:val="24"/>
        </w:rPr>
      </w:pPr>
      <w:r>
        <w:rPr>
          <w:rFonts w:eastAsia="Calibri"/>
          <w:szCs w:val="24"/>
        </w:rPr>
        <w:t>17.</w:t>
      </w:r>
      <w:r>
        <w:rPr>
          <w:szCs w:val="24"/>
        </w:rPr>
        <w:t xml:space="preserve"> Aprašo 9.2. papunktyje numatytu atveju, pasirašoma finansavimo sutartis ir lėšos skiriamos sutartyje numatytomis sąlygomis.</w:t>
      </w:r>
    </w:p>
    <w:p w14:paraId="6D275D87" w14:textId="77777777" w:rsidR="00C27E72" w:rsidRDefault="00C27E72">
      <w:pPr>
        <w:ind w:firstLine="720"/>
        <w:jc w:val="both"/>
        <w:rPr>
          <w:rFonts w:eastAsia="Calibri"/>
          <w:szCs w:val="24"/>
        </w:rPr>
      </w:pPr>
    </w:p>
    <w:p w14:paraId="1A3C05F9" w14:textId="77777777" w:rsidR="00C27E72" w:rsidRDefault="007D2DEC">
      <w:pPr>
        <w:ind w:right="39"/>
        <w:jc w:val="center"/>
        <w:rPr>
          <w:b/>
          <w:szCs w:val="24"/>
        </w:rPr>
      </w:pPr>
      <w:r>
        <w:rPr>
          <w:b/>
          <w:szCs w:val="24"/>
        </w:rPr>
        <w:t>III SKYRIUS</w:t>
      </w:r>
    </w:p>
    <w:p w14:paraId="0BBDD3BD" w14:textId="77777777" w:rsidR="00C27E72" w:rsidRDefault="007D2DEC">
      <w:pPr>
        <w:ind w:right="39" w:firstLine="57"/>
        <w:jc w:val="center"/>
        <w:rPr>
          <w:b/>
          <w:szCs w:val="24"/>
        </w:rPr>
      </w:pPr>
      <w:r>
        <w:rPr>
          <w:b/>
          <w:szCs w:val="24"/>
        </w:rPr>
        <w:t>REZERVO LĖŠŲ APSKAITOS TVARKA</w:t>
      </w:r>
    </w:p>
    <w:p w14:paraId="0C70A892" w14:textId="77777777" w:rsidR="00C27E72" w:rsidRDefault="00C27E72">
      <w:pPr>
        <w:ind w:right="39"/>
        <w:jc w:val="center"/>
        <w:rPr>
          <w:b/>
          <w:szCs w:val="24"/>
        </w:rPr>
      </w:pPr>
    </w:p>
    <w:p w14:paraId="58FF9146" w14:textId="77777777" w:rsidR="00C27E72" w:rsidRDefault="007D2DEC">
      <w:pPr>
        <w:ind w:right="39" w:firstLine="720"/>
        <w:jc w:val="both"/>
        <w:rPr>
          <w:szCs w:val="24"/>
        </w:rPr>
      </w:pPr>
      <w:r>
        <w:rPr>
          <w:szCs w:val="24"/>
        </w:rPr>
        <w:t>18. Rezervo lėšos naudojamos pagal atskirą asignavimų valdytojo patvirtintą biudžeto išlaidų sąmatą.</w:t>
      </w:r>
    </w:p>
    <w:p w14:paraId="5F751906" w14:textId="77777777" w:rsidR="00C27E72" w:rsidRDefault="007D2DEC">
      <w:pPr>
        <w:ind w:right="39" w:firstLine="720"/>
        <w:jc w:val="both"/>
        <w:rPr>
          <w:szCs w:val="24"/>
        </w:rPr>
      </w:pPr>
      <w:r>
        <w:rPr>
          <w:szCs w:val="24"/>
        </w:rPr>
        <w:t>19. Savivaldybės administracijos atsakingas administracijos padalinys, gavęs Savivaldybės mero potvarkį dėl lėšų skyrimo, perveda skirtas lėšas į nurodytą lėšų gavėjo sąskaitą.</w:t>
      </w:r>
    </w:p>
    <w:p w14:paraId="2A4DD8EB" w14:textId="77777777" w:rsidR="00C27E72" w:rsidRDefault="007D2DEC">
      <w:pPr>
        <w:spacing w:line="276" w:lineRule="atLeast"/>
        <w:ind w:firstLine="720"/>
        <w:jc w:val="both"/>
        <w:rPr>
          <w:color w:val="000000"/>
          <w:sz w:val="27"/>
          <w:szCs w:val="27"/>
          <w:lang w:eastAsia="lt-LT"/>
        </w:rPr>
      </w:pPr>
      <w:r>
        <w:rPr>
          <w:szCs w:val="24"/>
        </w:rPr>
        <w:t xml:space="preserve">20. Savivaldybės administracijos atsakingas administracijos padalinys, pasibaigus ketvirčiui, nustatyta tvarka ir terminais pateikia Lietuvos Respublikos finansų ministro </w:t>
      </w:r>
      <w:r>
        <w:rPr>
          <w:color w:val="000000"/>
          <w:szCs w:val="24"/>
          <w:lang w:eastAsia="lt-LT"/>
        </w:rPr>
        <w:t xml:space="preserve">2008 m. gruodžio 31 d. </w:t>
      </w:r>
      <w:r>
        <w:rPr>
          <w:szCs w:val="24"/>
        </w:rPr>
        <w:t>įsakymu Nr. 1K-465 „Dėl Asignavimų valdytojų, kitų valstybės ir savivaldybių biudžetinių įstaigų ir valstybės biudžeto asignavimus gaunančių kitų subjektų metinio biudžeto vykdymo ataskaitų rinkinio ir tarpinių biudžeto vykdymo ataskaitų rinkinio sudarymo taisyklių patvirtinimo“</w:t>
      </w:r>
      <w:r>
        <w:rPr>
          <w:b/>
          <w:bCs/>
          <w:szCs w:val="24"/>
        </w:rPr>
        <w:t xml:space="preserve"> </w:t>
      </w:r>
      <w:r>
        <w:rPr>
          <w:szCs w:val="24"/>
        </w:rPr>
        <w:t>patvirtintą</w:t>
      </w:r>
      <w:r>
        <w:rPr>
          <w:b/>
          <w:bCs/>
          <w:szCs w:val="24"/>
        </w:rPr>
        <w:t xml:space="preserve"> </w:t>
      </w:r>
      <w:r>
        <w:rPr>
          <w:szCs w:val="24"/>
        </w:rPr>
        <w:t>biudžeto išlaidų sąmatos vykdymo ataskaitą.</w:t>
      </w:r>
    </w:p>
    <w:p w14:paraId="07876BC4" w14:textId="77777777" w:rsidR="00C27E72" w:rsidRDefault="007D2DEC">
      <w:pPr>
        <w:ind w:right="39" w:firstLine="720"/>
        <w:jc w:val="both"/>
        <w:rPr>
          <w:szCs w:val="24"/>
        </w:rPr>
      </w:pPr>
      <w:r>
        <w:rPr>
          <w:szCs w:val="24"/>
        </w:rPr>
        <w:t>21. Nepanaudotos arba panaudotos ne pagal paskirtį Rezervo lėšos turi būti grąžintos į Savivaldybės sąskaitą iki einamųjų metų gruodžio 30 d.</w:t>
      </w:r>
    </w:p>
    <w:p w14:paraId="713E011D" w14:textId="77777777" w:rsidR="00C27E72" w:rsidRDefault="007D2DEC">
      <w:pPr>
        <w:ind w:right="39" w:firstLine="720"/>
        <w:jc w:val="both"/>
        <w:rPr>
          <w:szCs w:val="24"/>
        </w:rPr>
      </w:pPr>
      <w:r>
        <w:rPr>
          <w:szCs w:val="24"/>
        </w:rPr>
        <w:t>22.</w:t>
      </w:r>
      <w:r>
        <w:rPr>
          <w:color w:val="000000"/>
          <w:szCs w:val="24"/>
        </w:rPr>
        <w:t xml:space="preserve"> Jeigu nustatoma, kad subjektai, kuriems buvo skirtos Rezervo lėšos, pateikė neteisingą informaciją ir (arba) dokumentus, jie privalo grąžinti jiems skirtas lėšas. Subjektams nesutikus grąžinti lėšų, jos išieškomos Lietuvos Respublikos teisės aktų nustatyta tvarka.</w:t>
      </w:r>
    </w:p>
    <w:p w14:paraId="72BD973D" w14:textId="77777777" w:rsidR="00C27E72" w:rsidRDefault="007D2DEC">
      <w:pPr>
        <w:ind w:right="39" w:firstLine="720"/>
        <w:jc w:val="both"/>
        <w:rPr>
          <w:color w:val="000000"/>
          <w:szCs w:val="24"/>
        </w:rPr>
      </w:pPr>
      <w:r>
        <w:rPr>
          <w:szCs w:val="24"/>
        </w:rPr>
        <w:t xml:space="preserve">23. </w:t>
      </w:r>
      <w:r>
        <w:rPr>
          <w:color w:val="000000"/>
          <w:szCs w:val="24"/>
        </w:rPr>
        <w:t>Nepanaudotos Rezervo lėšos per metus gali būti skirstomos bendroms ir/ar papildomoms reikmėms tenkinti Savivaldybės tarybos sprendimu, tikslinant Savivaldybės biudžetą.</w:t>
      </w:r>
    </w:p>
    <w:p w14:paraId="6E5FF9F7" w14:textId="77777777" w:rsidR="00C27E72" w:rsidRDefault="00C27E72">
      <w:pPr>
        <w:ind w:right="39" w:firstLine="720"/>
        <w:jc w:val="both"/>
        <w:rPr>
          <w:szCs w:val="24"/>
        </w:rPr>
      </w:pPr>
    </w:p>
    <w:p w14:paraId="73056DD7" w14:textId="77777777" w:rsidR="00C27E72" w:rsidRDefault="007D2DEC">
      <w:pPr>
        <w:ind w:right="39"/>
        <w:jc w:val="center"/>
        <w:rPr>
          <w:b/>
          <w:szCs w:val="24"/>
        </w:rPr>
      </w:pPr>
      <w:r>
        <w:rPr>
          <w:b/>
          <w:szCs w:val="24"/>
        </w:rPr>
        <w:t>IV SKYRIUS</w:t>
      </w:r>
    </w:p>
    <w:p w14:paraId="3253CDB6" w14:textId="77777777" w:rsidR="00C27E72" w:rsidRDefault="007D2DEC">
      <w:pPr>
        <w:ind w:right="39" w:firstLine="57"/>
        <w:jc w:val="center"/>
        <w:rPr>
          <w:b/>
          <w:szCs w:val="24"/>
        </w:rPr>
      </w:pPr>
      <w:r>
        <w:rPr>
          <w:b/>
          <w:szCs w:val="24"/>
        </w:rPr>
        <w:t>BAIGIAMOSIOS NUOSTATOS</w:t>
      </w:r>
    </w:p>
    <w:p w14:paraId="54079BA7" w14:textId="77777777" w:rsidR="00C27E72" w:rsidRDefault="00C27E72">
      <w:pPr>
        <w:ind w:right="39"/>
        <w:jc w:val="center"/>
        <w:rPr>
          <w:b/>
          <w:szCs w:val="24"/>
        </w:rPr>
      </w:pPr>
    </w:p>
    <w:p w14:paraId="42EB3C05" w14:textId="77777777" w:rsidR="00C27E72" w:rsidRDefault="007D2DEC">
      <w:pPr>
        <w:ind w:right="39" w:firstLine="720"/>
        <w:jc w:val="both"/>
        <w:rPr>
          <w:szCs w:val="24"/>
        </w:rPr>
      </w:pPr>
      <w:r>
        <w:rPr>
          <w:szCs w:val="24"/>
        </w:rPr>
        <w:t>24. Už Savivaldybės mero</w:t>
      </w:r>
      <w:r>
        <w:rPr>
          <w:b/>
          <w:bCs/>
          <w:szCs w:val="24"/>
        </w:rPr>
        <w:t xml:space="preserve"> </w:t>
      </w:r>
      <w:r>
        <w:rPr>
          <w:szCs w:val="24"/>
        </w:rPr>
        <w:t xml:space="preserve">rezervo lėšų naudojimo tvarkos aprašo nuostatų įgyvendinimą atsakingos Savivaldybės seniūnijos ir Komisija. Komisijos darbo reglamentas tvirtinamas Savivaldybės mero potvarkiu. </w:t>
      </w:r>
    </w:p>
    <w:p w14:paraId="556A6A4D" w14:textId="77777777" w:rsidR="00C27E72" w:rsidRDefault="007D2DEC">
      <w:pPr>
        <w:ind w:right="39" w:firstLine="720"/>
        <w:jc w:val="both"/>
        <w:rPr>
          <w:szCs w:val="24"/>
        </w:rPr>
      </w:pPr>
      <w:r>
        <w:rPr>
          <w:szCs w:val="24"/>
        </w:rPr>
        <w:lastRenderedPageBreak/>
        <w:t>25. Tai, kas nereglamentuota šiame Apraše, sprendžiama taip, kaip numatyta Lietuvos Respublikos teisės aktuose.</w:t>
      </w:r>
    </w:p>
    <w:p w14:paraId="6E7CE7AF" w14:textId="77777777" w:rsidR="00C27E72" w:rsidRDefault="007D2DEC">
      <w:pPr>
        <w:ind w:right="39" w:firstLine="720"/>
        <w:jc w:val="both"/>
        <w:rPr>
          <w:szCs w:val="24"/>
        </w:rPr>
      </w:pPr>
      <w:r>
        <w:rPr>
          <w:szCs w:val="24"/>
        </w:rPr>
        <w:t>26. Šis Tvarkos aprašas keičiamas, naikinamas ar stabdomas jo galiojimas Savivaldybės tarybos sprendimu.</w:t>
      </w:r>
    </w:p>
    <w:p w14:paraId="48D10B00" w14:textId="77777777" w:rsidR="00C27E72" w:rsidRDefault="00C27E72">
      <w:pPr>
        <w:ind w:right="39"/>
        <w:jc w:val="both"/>
        <w:rPr>
          <w:szCs w:val="24"/>
        </w:rPr>
      </w:pPr>
    </w:p>
    <w:p w14:paraId="169FE488" w14:textId="77777777" w:rsidR="00C27E72" w:rsidRDefault="007D2DEC">
      <w:pPr>
        <w:ind w:right="39"/>
        <w:jc w:val="center"/>
        <w:rPr>
          <w:szCs w:val="24"/>
        </w:rPr>
      </w:pPr>
      <w:r>
        <w:rPr>
          <w:szCs w:val="24"/>
        </w:rPr>
        <w:t>_______________________________</w:t>
      </w:r>
    </w:p>
    <w:p w14:paraId="0F0EED9B" w14:textId="77777777" w:rsidR="00C27E72" w:rsidRDefault="00C27E72"/>
    <w:p w14:paraId="4ABE0FA0" w14:textId="77777777" w:rsidR="00C27E72" w:rsidRDefault="00C27E72">
      <w:pPr>
        <w:jc w:val="both"/>
        <w:rPr>
          <w:szCs w:val="24"/>
        </w:rPr>
      </w:pPr>
    </w:p>
    <w:sectPr w:rsidR="00C27E72" w:rsidSect="007D2DEC">
      <w:pgSz w:w="11906" w:h="16838" w:code="9"/>
      <w:pgMar w:top="1134"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4F30" w14:textId="77777777" w:rsidR="007D2DEC" w:rsidRDefault="007D2DEC" w:rsidP="007D2DEC">
      <w:r>
        <w:separator/>
      </w:r>
    </w:p>
  </w:endnote>
  <w:endnote w:type="continuationSeparator" w:id="0">
    <w:p w14:paraId="25B6FD13" w14:textId="77777777" w:rsidR="007D2DEC" w:rsidRDefault="007D2DEC" w:rsidP="007D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1CF" w14:textId="77777777" w:rsidR="007D2DEC" w:rsidRDefault="007D2DE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2623" w14:textId="77777777" w:rsidR="007D2DEC" w:rsidRDefault="007D2D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A43A" w14:textId="77777777" w:rsidR="007D2DEC" w:rsidRDefault="007D2D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5D87" w14:textId="77777777" w:rsidR="007D2DEC" w:rsidRDefault="007D2DEC" w:rsidP="007D2DEC">
      <w:r>
        <w:separator/>
      </w:r>
    </w:p>
  </w:footnote>
  <w:footnote w:type="continuationSeparator" w:id="0">
    <w:p w14:paraId="0F4B19F1" w14:textId="77777777" w:rsidR="007D2DEC" w:rsidRDefault="007D2DEC" w:rsidP="007D2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EA82" w14:textId="77777777" w:rsidR="007D2DEC" w:rsidRDefault="007D2D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262925"/>
      <w:docPartObj>
        <w:docPartGallery w:val="Page Numbers (Top of Page)"/>
        <w:docPartUnique/>
      </w:docPartObj>
    </w:sdtPr>
    <w:sdtEndPr/>
    <w:sdtContent>
      <w:p w14:paraId="3928FBF4" w14:textId="77777777" w:rsidR="007D2DEC" w:rsidRDefault="007D2DEC" w:rsidP="007D2DEC">
        <w:pPr>
          <w:pStyle w:val="Antrats"/>
          <w:jc w:val="center"/>
        </w:pPr>
        <w:r>
          <w:fldChar w:fldCharType="begin"/>
        </w:r>
        <w:r>
          <w:instrText>PAGE   \* MERGEFORMAT</w:instrText>
        </w:r>
        <w:r>
          <w:fldChar w:fldCharType="separate"/>
        </w:r>
        <w:r>
          <w:rPr>
            <w:noProof/>
          </w:rP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80DE" w14:textId="77777777" w:rsidR="007D2DEC" w:rsidRDefault="007D2DE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20"/>
    <w:rsid w:val="000A6C20"/>
    <w:rsid w:val="007D2DEC"/>
    <w:rsid w:val="008F423B"/>
    <w:rsid w:val="00C27E72"/>
    <w:rsid w:val="00DF2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3E8A6E"/>
  <w15:chartTrackingRefBased/>
  <w15:docId w15:val="{F52D00F9-2282-46FD-9C2E-E6AD7C37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D2DEC"/>
    <w:pPr>
      <w:tabs>
        <w:tab w:val="center" w:pos="4819"/>
        <w:tab w:val="right" w:pos="9638"/>
      </w:tabs>
    </w:pPr>
  </w:style>
  <w:style w:type="character" w:customStyle="1" w:styleId="AntratsDiagrama">
    <w:name w:val="Antraštės Diagrama"/>
    <w:basedOn w:val="Numatytasispastraiposriftas"/>
    <w:link w:val="Antrats"/>
    <w:uiPriority w:val="99"/>
    <w:rsid w:val="007D2DEC"/>
  </w:style>
  <w:style w:type="paragraph" w:styleId="Porat">
    <w:name w:val="footer"/>
    <w:basedOn w:val="prastasis"/>
    <w:link w:val="PoratDiagrama"/>
    <w:unhideWhenUsed/>
    <w:rsid w:val="007D2DEC"/>
    <w:pPr>
      <w:tabs>
        <w:tab w:val="center" w:pos="4819"/>
        <w:tab w:val="right" w:pos="9638"/>
      </w:tabs>
    </w:pPr>
  </w:style>
  <w:style w:type="character" w:customStyle="1" w:styleId="PoratDiagrama">
    <w:name w:val="Poraštė Diagrama"/>
    <w:basedOn w:val="Numatytasispastraiposriftas"/>
    <w:link w:val="Porat"/>
    <w:rsid w:val="007D2DEC"/>
  </w:style>
  <w:style w:type="character" w:styleId="Vietosrezervavimoenklotekstas">
    <w:name w:val="Placeholder Text"/>
    <w:basedOn w:val="Numatytasispastraiposriftas"/>
    <w:rsid w:val="007D2D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7382</Words>
  <Characters>4208</Characters>
  <Application>Microsoft Office Word</Application>
  <DocSecurity>0</DocSecurity>
  <Lines>35</Lines>
  <Paragraphs>23</Paragraphs>
  <ScaleCrop>false</ScaleCrop>
  <Company/>
  <LinksUpToDate>false</LinksUpToDate>
  <CharactersWithSpaces>11567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Laimonas Tubis</dc:creator>
  <cp:lastModifiedBy>Edward Zakrzewski</cp:lastModifiedBy>
  <cp:revision>2</cp:revision>
  <dcterms:created xsi:type="dcterms:W3CDTF">2025-06-09T07:32:00Z</dcterms:created>
  <dcterms:modified xsi:type="dcterms:W3CDTF">2025-06-09T07:32:00Z</dcterms:modified>
</cp:coreProperties>
</file>