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06A4" w14:textId="77777777" w:rsidR="009558D2" w:rsidRDefault="0039435B" w:rsidP="0039435B">
      <w:pPr>
        <w:suppressAutoHyphens/>
        <w:ind w:right="27"/>
        <w:jc w:val="center"/>
        <w:rPr>
          <w:rFonts w:eastAsia="Calibri"/>
          <w:szCs w:val="24"/>
        </w:rPr>
      </w:pPr>
      <w:r>
        <w:rPr>
          <w:rFonts w:ascii="Aptos" w:eastAsia="Aptos" w:hAnsi="Aptos"/>
          <w:noProof/>
          <w:sz w:val="22"/>
          <w:szCs w:val="22"/>
          <w:lang w:eastAsia="lt-LT"/>
        </w:rPr>
        <mc:AlternateContent>
          <mc:Choice Requires="wps">
            <w:drawing>
              <wp:anchor distT="0" distB="0" distL="114300" distR="0" simplePos="0" relativeHeight="251657216" behindDoc="0" locked="0" layoutInCell="0" allowOverlap="1" wp14:anchorId="7AA59B47" wp14:editId="3E42FC5D">
                <wp:simplePos x="0" y="0"/>
                <wp:positionH relativeFrom="column">
                  <wp:posOffset>635</wp:posOffset>
                </wp:positionH>
                <wp:positionV relativeFrom="paragraph">
                  <wp:posOffset>635</wp:posOffset>
                </wp:positionV>
                <wp:extent cx="635000" cy="635000"/>
                <wp:effectExtent l="635" t="0" r="0" b="0"/>
                <wp:wrapNone/>
                <wp:docPr id="1"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taisx="http://lrs.lt/TAIS/DocPartXmlMarks">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2"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sidR="00401386">
        <w:rPr>
          <w:rFonts w:ascii="Aptos" w:eastAsia="Aptos" w:hAnsi="Aptos"/>
          <w:sz w:val="22"/>
          <w:szCs w:val="22"/>
        </w:rPr>
        <w:pict w14:anchorId="2AD84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rPr>
          <w:rFonts w:ascii="Aptos" w:eastAsia="Aptos" w:hAnsi="Aptos"/>
          <w:sz w:val="22"/>
          <w:szCs w:val="22"/>
        </w:rPr>
        <w:object w:dxaOrig="730" w:dyaOrig="850" w14:anchorId="456E4E6C">
          <v:shape id="ole_rId2" o:spid="_x0000_i1025" type="#_x0000_t75" style="width:36.85pt;height:42.05pt;visibility:visible;mso-wrap-distance-right:0" o:ole="">
            <v:imagedata r:id="rId6" o:title=""/>
          </v:shape>
          <o:OLEObject Type="Embed" ProgID="Unknown" ShapeID="ole_rId2" DrawAspect="Content" ObjectID="_1810970448" r:id="rId7"/>
        </w:object>
      </w:r>
    </w:p>
    <w:p w14:paraId="4993C5AD" w14:textId="77777777" w:rsidR="009558D2" w:rsidRDefault="0039435B" w:rsidP="0039435B">
      <w:pPr>
        <w:suppressAutoHyphens/>
        <w:ind w:right="27"/>
        <w:jc w:val="center"/>
        <w:rPr>
          <w:rFonts w:eastAsia="Calibri"/>
          <w:b/>
          <w:sz w:val="28"/>
          <w:szCs w:val="28"/>
        </w:rPr>
      </w:pPr>
      <w:r>
        <w:rPr>
          <w:rFonts w:eastAsia="Calibri"/>
          <w:b/>
          <w:sz w:val="28"/>
          <w:szCs w:val="28"/>
        </w:rPr>
        <w:t>VILNIAUS  RAJONO SAVIVALDYBĖS TARYBA</w:t>
      </w:r>
    </w:p>
    <w:p w14:paraId="451360AE" w14:textId="77777777" w:rsidR="009558D2" w:rsidRDefault="009558D2" w:rsidP="0039435B">
      <w:pPr>
        <w:suppressAutoHyphens/>
        <w:ind w:right="27"/>
        <w:jc w:val="center"/>
        <w:rPr>
          <w:rFonts w:eastAsia="Calibri"/>
          <w:b/>
          <w:szCs w:val="24"/>
        </w:rPr>
      </w:pPr>
    </w:p>
    <w:p w14:paraId="1370BD18" w14:textId="77777777" w:rsidR="009558D2" w:rsidRDefault="0039435B" w:rsidP="0039435B">
      <w:pPr>
        <w:suppressAutoHyphens/>
        <w:ind w:right="27"/>
        <w:jc w:val="center"/>
        <w:rPr>
          <w:rFonts w:eastAsia="Calibri"/>
          <w:b/>
          <w:szCs w:val="24"/>
        </w:rPr>
      </w:pPr>
      <w:r>
        <w:rPr>
          <w:rFonts w:eastAsia="Calibri"/>
          <w:b/>
          <w:szCs w:val="24"/>
        </w:rPr>
        <w:t>SPRENDIMAS</w:t>
      </w:r>
    </w:p>
    <w:p w14:paraId="6712F8F0" w14:textId="77777777" w:rsidR="009558D2" w:rsidRDefault="0039435B" w:rsidP="0039435B">
      <w:pPr>
        <w:suppressLineNumbers/>
        <w:suppressAutoHyphens/>
        <w:ind w:right="27"/>
        <w:jc w:val="center"/>
        <w:rPr>
          <w:rFonts w:eastAsia="Aptos"/>
          <w:b/>
          <w:bCs/>
          <w:szCs w:val="24"/>
        </w:rPr>
      </w:pPr>
      <w:r>
        <w:rPr>
          <w:rFonts w:eastAsia="Aptos"/>
          <w:b/>
          <w:bCs/>
          <w:szCs w:val="24"/>
        </w:rPr>
        <w:t>DĖL VILNIAUS RAJONO SAVIVALDYBĖS TARYBOS 2024 M. GRUODŽIO 20 D. SPRENDIMO NR. T3-412 „DĖL VILNIAUS RAJONO SAVIVALDYBĖS MERO REZERVO LĖŠŲ NAUDOJIMO TVARKOS APRAŠO PATVIRTINIMO“ PAKEITIMO</w:t>
      </w:r>
    </w:p>
    <w:p w14:paraId="5DE50A5E" w14:textId="77777777" w:rsidR="009558D2" w:rsidRDefault="009558D2" w:rsidP="0039435B">
      <w:pPr>
        <w:rPr>
          <w:sz w:val="18"/>
          <w:szCs w:val="18"/>
        </w:rPr>
      </w:pPr>
    </w:p>
    <w:p w14:paraId="36CBA9AA" w14:textId="77777777" w:rsidR="009558D2" w:rsidRDefault="0039435B" w:rsidP="0039435B">
      <w:pPr>
        <w:suppressAutoHyphens/>
        <w:ind w:right="27"/>
        <w:jc w:val="center"/>
        <w:rPr>
          <w:rFonts w:eastAsia="Calibri"/>
          <w:szCs w:val="24"/>
        </w:rPr>
      </w:pPr>
      <w:r>
        <w:rPr>
          <w:rFonts w:eastAsia="Calibri"/>
          <w:szCs w:val="24"/>
        </w:rPr>
        <w:t xml:space="preserve">2025 m. gegužės 30 d. Nr. </w:t>
      </w:r>
      <w:r w:rsidRPr="0039435B">
        <w:rPr>
          <w:rFonts w:eastAsia="Calibri"/>
          <w:szCs w:val="24"/>
        </w:rPr>
        <w:t>T3-172(1.6 E)</w:t>
      </w:r>
    </w:p>
    <w:p w14:paraId="3E38BFB7" w14:textId="77777777" w:rsidR="009558D2" w:rsidRDefault="0039435B" w:rsidP="0039435B">
      <w:pPr>
        <w:suppressAutoHyphens/>
        <w:ind w:right="27"/>
        <w:jc w:val="center"/>
        <w:rPr>
          <w:rFonts w:eastAsia="Calibri"/>
          <w:szCs w:val="24"/>
        </w:rPr>
      </w:pPr>
      <w:r>
        <w:rPr>
          <w:rFonts w:eastAsia="Calibri"/>
          <w:szCs w:val="24"/>
        </w:rPr>
        <w:t>Vilnius</w:t>
      </w:r>
    </w:p>
    <w:p w14:paraId="221FAAF8" w14:textId="77777777" w:rsidR="0039435B" w:rsidRDefault="0039435B">
      <w:pPr>
        <w:suppressAutoHyphens/>
        <w:spacing w:line="360" w:lineRule="auto"/>
        <w:ind w:right="27"/>
        <w:jc w:val="center"/>
        <w:rPr>
          <w:rFonts w:eastAsia="Calibri"/>
          <w:szCs w:val="24"/>
        </w:rPr>
      </w:pPr>
    </w:p>
    <w:p w14:paraId="33EEBD9E" w14:textId="77777777" w:rsidR="009558D2" w:rsidRDefault="0039435B">
      <w:pPr>
        <w:tabs>
          <w:tab w:val="left" w:pos="993"/>
        </w:tabs>
        <w:suppressAutoHyphens/>
        <w:spacing w:line="276" w:lineRule="auto"/>
        <w:ind w:right="27" w:firstLine="993"/>
        <w:jc w:val="both"/>
        <w:rPr>
          <w:rFonts w:eastAsia="Calibri"/>
          <w:szCs w:val="24"/>
        </w:rPr>
      </w:pPr>
      <w:r>
        <w:rPr>
          <w:rFonts w:eastAsia="Calibri"/>
          <w:szCs w:val="24"/>
        </w:rPr>
        <w:t>Vadovaudamasi Lietuvos Respublikos vietos savivaldos įstatymo 15 straipsnio 4 dalimi, Lietuvos Respublikos biudžeto sandaros įstatymo15 straipsniu, Lietuvos Respublikos krizių valdymo ir civilinės saugos įstatymo 47 straipsnio 3 punktu, Vilniaus rajono savivaldybės taryba n u s p r e n d ž i a:</w:t>
      </w:r>
    </w:p>
    <w:p w14:paraId="68ED21D9" w14:textId="77777777" w:rsidR="009558D2" w:rsidRDefault="0039435B">
      <w:pPr>
        <w:tabs>
          <w:tab w:val="left" w:pos="0"/>
          <w:tab w:val="left" w:pos="1276"/>
        </w:tabs>
        <w:suppressAutoHyphens/>
        <w:spacing w:line="276" w:lineRule="auto"/>
        <w:ind w:right="27" w:firstLine="993"/>
        <w:jc w:val="both"/>
        <w:rPr>
          <w:rFonts w:eastAsia="Calibri"/>
          <w:szCs w:val="24"/>
        </w:rPr>
      </w:pPr>
      <w:r>
        <w:rPr>
          <w:rFonts w:eastAsia="Calibri"/>
          <w:szCs w:val="24"/>
        </w:rPr>
        <w:t>1.</w:t>
      </w:r>
      <w:r>
        <w:rPr>
          <w:rFonts w:eastAsia="Calibri"/>
          <w:szCs w:val="24"/>
        </w:rPr>
        <w:tab/>
        <w:t>Pakeisti Vilniaus rajono savivaldybės mero rezervo lėšų naudojimo tvarkos aprašą, patvirtintą Vilniaus rajono savivaldybės tarybos 2024 m. gruodžio 20 d. sprendimu T3-412 „Dėl Vilniaus rajono savivaldybės mero rezervo lėšų naudojimo tvarkos aprašo patvirtinimo“:</w:t>
      </w:r>
    </w:p>
    <w:p w14:paraId="6C387EA9" w14:textId="77777777" w:rsidR="009558D2" w:rsidRDefault="0039435B">
      <w:pPr>
        <w:tabs>
          <w:tab w:val="left" w:pos="9639"/>
        </w:tabs>
        <w:suppressAutoHyphens/>
        <w:spacing w:line="276" w:lineRule="auto"/>
        <w:ind w:right="27" w:firstLine="993"/>
        <w:jc w:val="both"/>
        <w:rPr>
          <w:rFonts w:eastAsia="Calibri"/>
          <w:szCs w:val="24"/>
        </w:rPr>
      </w:pPr>
      <w:r>
        <w:rPr>
          <w:rFonts w:eastAsia="Calibri"/>
          <w:szCs w:val="24"/>
        </w:rPr>
        <w:t>1.1. Pakeisti 6.2 papunktį ir jį išdėstyti taip:</w:t>
      </w:r>
    </w:p>
    <w:p w14:paraId="4E600AC3" w14:textId="77777777" w:rsidR="009558D2" w:rsidRDefault="0039435B">
      <w:pPr>
        <w:suppressAutoHyphens/>
        <w:spacing w:line="276" w:lineRule="auto"/>
        <w:ind w:right="27" w:firstLine="993"/>
        <w:jc w:val="both"/>
        <w:rPr>
          <w:szCs w:val="24"/>
        </w:rPr>
      </w:pPr>
      <w:r>
        <w:rPr>
          <w:szCs w:val="24"/>
        </w:rPr>
        <w:t>„6.2. gaisrų bei stichinių nelaimių ir kitų įvykių (toliau – stichinė nelaimė), kai jie atitinka Stichinių, katastrofinių meteorologinių ir hidrologinių reiškinių rodiklius, patvirtintus Lietuvos Respublikos aplinkos ministro 2011 m. lapkričio 11 d. įsakymu Nr. D1-870 „Dėl Stichinių, katastrofinių meteorologinių ir hidrologinių reiškinių rodiklių patvirtinimo“, padariniams likviduoti ir jų padarytiems nuostoliams iš dalies kompensuoti;“;</w:t>
      </w:r>
    </w:p>
    <w:p w14:paraId="5589ADEF" w14:textId="77777777" w:rsidR="009558D2" w:rsidRDefault="0039435B">
      <w:pPr>
        <w:suppressAutoHyphens/>
        <w:spacing w:line="276" w:lineRule="auto"/>
        <w:ind w:left="993"/>
        <w:rPr>
          <w:szCs w:val="24"/>
        </w:rPr>
      </w:pPr>
      <w:r>
        <w:rPr>
          <w:szCs w:val="24"/>
        </w:rPr>
        <w:t>1.2. Pakeisti 9.1 papunktį ir jį išdėstyti taip:</w:t>
      </w:r>
    </w:p>
    <w:p w14:paraId="1DE29486" w14:textId="77777777" w:rsidR="009558D2" w:rsidRDefault="0039435B">
      <w:pPr>
        <w:suppressAutoHyphens/>
        <w:spacing w:line="276" w:lineRule="auto"/>
        <w:ind w:firstLine="993"/>
        <w:jc w:val="both"/>
        <w:rPr>
          <w:szCs w:val="24"/>
        </w:rPr>
      </w:pPr>
      <w:r>
        <w:rPr>
          <w:szCs w:val="24"/>
        </w:rPr>
        <w:t>„9.1. Vilniaus rajono gyventojams (toliau – Asmenys), deklaravusiems savo gyvenamąją vietą Savivaldybės teritorijoje ir turintiems nuosavybės teise registruoto nekilnojamojo turto Vilniaus rajone, kurių gyvenamieji namai ir butai ar kiti ūkio paskirties pastatai (toliau – Turtas) nukentėjo nuo 6.2 papunktyje nurodytų aplinkybių. Jei yra keli Turto savininkai, lėšos skiriamos proporcingai turimo turto daliai, kiekvienas iš savininkų turi kreiptis asmeniškai. Vienam Asmeniui gali būti skiriamas finansavimas už vieną Turto vienetą (nepriklausomai nuo įvykio metu apgadintų pastatų kiekio) ne dažniau kaip vieną kartą per metus:“;</w:t>
      </w:r>
    </w:p>
    <w:p w14:paraId="1868A556" w14:textId="77777777" w:rsidR="009558D2" w:rsidRDefault="0039435B">
      <w:pPr>
        <w:suppressAutoHyphens/>
        <w:spacing w:line="276" w:lineRule="auto"/>
        <w:ind w:left="993" w:right="27"/>
        <w:jc w:val="both"/>
        <w:rPr>
          <w:szCs w:val="24"/>
        </w:rPr>
      </w:pPr>
      <w:r>
        <w:rPr>
          <w:szCs w:val="24"/>
        </w:rPr>
        <w:t>1.3. Pakeisti 10.1 papunktį ir jį išdėstyti taip:</w:t>
      </w:r>
    </w:p>
    <w:p w14:paraId="019B80C1" w14:textId="77777777" w:rsidR="009558D2" w:rsidRDefault="0039435B">
      <w:pPr>
        <w:suppressAutoHyphens/>
        <w:spacing w:line="276" w:lineRule="auto"/>
        <w:ind w:right="27" w:firstLine="993"/>
        <w:jc w:val="both"/>
        <w:rPr>
          <w:rFonts w:eastAsia="Aptos"/>
          <w:szCs w:val="24"/>
        </w:rPr>
      </w:pPr>
      <w:r>
        <w:rPr>
          <w:szCs w:val="24"/>
        </w:rPr>
        <w:t>„</w:t>
      </w:r>
      <w:r>
        <w:rPr>
          <w:rFonts w:eastAsia="Aptos"/>
          <w:szCs w:val="24"/>
        </w:rPr>
        <w:t xml:space="preserve">10.1. Asmenys motyvuotus prašymus teikia seniūnijų seniūnams ne vėliau kaip per 60 kalendorinių dienų nuo Aprašo 6 punkte nurodytų aplinkybių atsiradimo. Kartu su prašymu pateikia finansavimo poreikį pagrindžiančius dokumentus, nuosavybės dokumentus, Priešgaisrinės gelbėjimo tarnybos ar Hidrometeorologinės tarnybos pažymą (gaisro ar stichinės nelaimės atveju), sutartis ir / ar kitus žalą patvirtinančius dokumentus, 9.2 papunktyje nurodytu atveju – butų savininkų balsų dauguma priimtą sprendimą dėl namo bendrojo naudojimo objektų remonto ir kreipimosi dėl pagalbos, pateikia bendrojo naudojimo objektų remonto sąmatą. Seniūnai, gavę Asmens ar daugiabučio namo valdytojo prašymą, parengia raštą dėl Rezervo lėšų skyrimo ir teikia Savivaldybės merui, kartu su Asmenų pateiktais išlaidas pagrindžiančiais dokumentais ir aktais, pateikia išrašus iš nekilnojamojo turto registro, nurodo duomenis </w:t>
      </w:r>
      <w:r>
        <w:rPr>
          <w:rFonts w:eastAsia="Aptos"/>
          <w:szCs w:val="24"/>
        </w:rPr>
        <w:lastRenderedPageBreak/>
        <w:t>apie Asmenį, banko sąskaitą, į kurią prašomą pervesti lėšas, užpildytą buities tyrimo aktą. Savininko mirties atveju, kol bus sutvarkyti paveldėjimo dokumentai, pašymų kompensacijai pateikimų terminas pratęsiamas iki 120 kalendorinių dienų (su galimybe pratęsti, pateikiant motyvuotą prašymą dėl užtrukusių paveldėjimo dokumentų tvarkymosi);“;</w:t>
      </w:r>
    </w:p>
    <w:p w14:paraId="45A71B8B" w14:textId="77777777" w:rsidR="009558D2" w:rsidRDefault="0039435B">
      <w:pPr>
        <w:suppressAutoHyphens/>
        <w:spacing w:line="276" w:lineRule="auto"/>
        <w:ind w:left="993" w:right="27"/>
        <w:jc w:val="both"/>
        <w:rPr>
          <w:rFonts w:eastAsia="Aptos"/>
          <w:szCs w:val="24"/>
        </w:rPr>
      </w:pPr>
      <w:r>
        <w:rPr>
          <w:rFonts w:eastAsia="Aptos"/>
          <w:szCs w:val="24"/>
        </w:rPr>
        <w:t>1.4. Pakeisti 11.3 papunktį ir jį išdėstyti taip:</w:t>
      </w:r>
    </w:p>
    <w:p w14:paraId="36D87C83" w14:textId="77777777" w:rsidR="009558D2" w:rsidRDefault="0039435B">
      <w:pPr>
        <w:suppressAutoHyphens/>
        <w:spacing w:line="276" w:lineRule="auto"/>
        <w:ind w:right="27" w:firstLine="993"/>
        <w:jc w:val="both"/>
        <w:rPr>
          <w:rFonts w:eastAsia="Aptos"/>
          <w:szCs w:val="24"/>
        </w:rPr>
      </w:pPr>
      <w:r>
        <w:rPr>
          <w:rFonts w:eastAsia="Aptos"/>
          <w:szCs w:val="24"/>
        </w:rPr>
        <w:t>„11.3. per 15 darbo dienų išnagrinėja pateiktą prašymą ir teikia siūlymus Savivaldybės merui dėl prašymo tenkinimo. Komisijos siūlymas įforminamas protokolu, kuris teikiamas Savivaldybės merui.“;</w:t>
      </w:r>
    </w:p>
    <w:p w14:paraId="2A2D8ACD" w14:textId="77777777" w:rsidR="009558D2" w:rsidRDefault="0039435B">
      <w:pPr>
        <w:suppressAutoHyphens/>
        <w:spacing w:line="276" w:lineRule="auto"/>
        <w:ind w:left="993" w:right="27"/>
        <w:jc w:val="both"/>
        <w:rPr>
          <w:rFonts w:eastAsia="Aptos"/>
          <w:szCs w:val="24"/>
        </w:rPr>
      </w:pPr>
      <w:r>
        <w:rPr>
          <w:rFonts w:eastAsia="Aptos"/>
          <w:szCs w:val="24"/>
        </w:rPr>
        <w:t>1.5. Pakeisti 13 punktą ir jį išdėstyti taip:</w:t>
      </w:r>
    </w:p>
    <w:p w14:paraId="3032B2D0" w14:textId="77777777" w:rsidR="009558D2" w:rsidRDefault="0039435B">
      <w:pPr>
        <w:suppressAutoHyphens/>
        <w:spacing w:line="276" w:lineRule="auto"/>
        <w:ind w:right="27" w:firstLine="993"/>
        <w:jc w:val="both"/>
        <w:rPr>
          <w:rFonts w:eastAsia="Aptos"/>
          <w:szCs w:val="24"/>
        </w:rPr>
      </w:pPr>
      <w:r>
        <w:rPr>
          <w:rFonts w:eastAsia="Aptos"/>
          <w:szCs w:val="24"/>
        </w:rPr>
        <w:t>„13. Savivaldybės meras, atsižvelgęs į Komisijos siūlymą, per 3 d. d. priima sprendimą:“;</w:t>
      </w:r>
    </w:p>
    <w:p w14:paraId="2402B553" w14:textId="77777777" w:rsidR="009558D2" w:rsidRDefault="0039435B">
      <w:pPr>
        <w:suppressAutoHyphens/>
        <w:spacing w:line="276" w:lineRule="auto"/>
        <w:ind w:right="27" w:firstLine="993"/>
        <w:jc w:val="both"/>
        <w:rPr>
          <w:rFonts w:eastAsia="Aptos"/>
          <w:szCs w:val="24"/>
        </w:rPr>
      </w:pPr>
      <w:r>
        <w:rPr>
          <w:rFonts w:eastAsia="Aptos"/>
          <w:szCs w:val="24"/>
        </w:rPr>
        <w:t>1.6. Pakeisti 14 punktą ir jį išdėstyti taip:</w:t>
      </w:r>
    </w:p>
    <w:p w14:paraId="16F2E9E0" w14:textId="77777777" w:rsidR="009558D2" w:rsidRDefault="0039435B">
      <w:pPr>
        <w:suppressAutoHyphens/>
        <w:spacing w:line="276" w:lineRule="auto"/>
        <w:ind w:right="27" w:firstLine="993"/>
        <w:jc w:val="both"/>
        <w:rPr>
          <w:rFonts w:eastAsia="Aptos"/>
          <w:szCs w:val="24"/>
        </w:rPr>
      </w:pPr>
      <w:r>
        <w:rPr>
          <w:rFonts w:eastAsia="Aptos"/>
          <w:szCs w:val="24"/>
        </w:rPr>
        <w:t>„14. Apie pateikto prašymo nagrinėjimo rezultatus prašymą pateikęs subjektas informuojamas per 2 darbo dienas nuo Aprašo 13 punkte numatyto sprendimo priėmimo dienos. Jei prašymas netenkinamas, nurodoma netenkinimo priežastis.“;</w:t>
      </w:r>
    </w:p>
    <w:p w14:paraId="0002FD1D" w14:textId="77777777" w:rsidR="009558D2" w:rsidRDefault="0039435B">
      <w:pPr>
        <w:suppressAutoHyphens/>
        <w:spacing w:line="276" w:lineRule="auto"/>
        <w:ind w:left="993"/>
        <w:rPr>
          <w:rFonts w:eastAsia="Aptos"/>
          <w:szCs w:val="24"/>
        </w:rPr>
      </w:pPr>
      <w:r>
        <w:rPr>
          <w:rFonts w:eastAsia="Aptos"/>
          <w:szCs w:val="24"/>
        </w:rPr>
        <w:t>1.7. Pakeisti 23 punktą ir jį išdėstyti taip:</w:t>
      </w:r>
    </w:p>
    <w:p w14:paraId="0DB4E0A2" w14:textId="77777777" w:rsidR="009558D2" w:rsidRDefault="0039435B">
      <w:pPr>
        <w:suppressAutoHyphens/>
        <w:spacing w:line="276" w:lineRule="auto"/>
        <w:ind w:right="27" w:firstLine="993"/>
        <w:jc w:val="both"/>
        <w:rPr>
          <w:szCs w:val="24"/>
        </w:rPr>
      </w:pPr>
      <w:r>
        <w:rPr>
          <w:szCs w:val="24"/>
        </w:rPr>
        <w:t>„23. Lėšų iš rezervo panaudojimo tikslingumo ir teisėtumo kontrolę vykdo Savivaldybės kontrolės ir audito tarnyba;“.</w:t>
      </w:r>
    </w:p>
    <w:p w14:paraId="6F1A68F0" w14:textId="77777777" w:rsidR="009558D2" w:rsidRDefault="0039435B" w:rsidP="0039435B">
      <w:pPr>
        <w:shd w:val="clear" w:color="auto" w:fill="FFFFFF"/>
        <w:tabs>
          <w:tab w:val="left" w:pos="993"/>
        </w:tabs>
        <w:suppressAutoHyphens/>
        <w:spacing w:line="276" w:lineRule="auto"/>
        <w:ind w:right="27" w:firstLine="993"/>
        <w:jc w:val="both"/>
        <w:rPr>
          <w:szCs w:val="24"/>
        </w:rPr>
      </w:pPr>
      <w:r>
        <w:rPr>
          <w:szCs w:val="24"/>
        </w:rPr>
        <w:t>2. Skelbti šį sprendimą Teisės aktų registre ir Vilniaus rajono savivaldybės interneto svetainėje.</w:t>
      </w:r>
    </w:p>
    <w:p w14:paraId="6338AECB" w14:textId="77777777" w:rsidR="009558D2" w:rsidRDefault="009558D2">
      <w:pPr>
        <w:tabs>
          <w:tab w:val="left" w:pos="5592"/>
        </w:tabs>
        <w:suppressAutoHyphens/>
        <w:spacing w:line="360" w:lineRule="auto"/>
        <w:ind w:right="27"/>
        <w:jc w:val="both"/>
        <w:rPr>
          <w:rFonts w:eastAsia="Calibri"/>
          <w:szCs w:val="24"/>
        </w:rPr>
      </w:pPr>
    </w:p>
    <w:p w14:paraId="10967DB0" w14:textId="77777777" w:rsidR="009558D2" w:rsidRDefault="009558D2">
      <w:pPr>
        <w:tabs>
          <w:tab w:val="left" w:pos="5592"/>
        </w:tabs>
        <w:suppressAutoHyphens/>
        <w:spacing w:line="360" w:lineRule="auto"/>
        <w:ind w:right="27"/>
        <w:jc w:val="both"/>
        <w:rPr>
          <w:rFonts w:eastAsia="Calibri"/>
          <w:szCs w:val="24"/>
        </w:rPr>
      </w:pPr>
    </w:p>
    <w:p w14:paraId="7860778A" w14:textId="77777777" w:rsidR="0039435B" w:rsidRDefault="0039435B">
      <w:pPr>
        <w:tabs>
          <w:tab w:val="left" w:pos="5592"/>
        </w:tabs>
        <w:suppressAutoHyphens/>
        <w:spacing w:line="360" w:lineRule="auto"/>
        <w:ind w:right="27"/>
        <w:jc w:val="both"/>
        <w:rPr>
          <w:rFonts w:eastAsia="Calibri"/>
          <w:szCs w:val="24"/>
        </w:rPr>
      </w:pPr>
      <w:r>
        <w:rPr>
          <w:rFonts w:eastAsia="Calibri"/>
          <w:szCs w:val="24"/>
        </w:rPr>
        <w:t xml:space="preserve">Savivaldybės meras                                                                   </w:t>
      </w:r>
      <w:r>
        <w:rPr>
          <w:rFonts w:eastAsia="Calibri"/>
          <w:szCs w:val="24"/>
        </w:rPr>
        <w:tab/>
      </w:r>
      <w:r>
        <w:rPr>
          <w:rFonts w:eastAsia="Calibri"/>
          <w:szCs w:val="24"/>
        </w:rPr>
        <w:tab/>
      </w:r>
      <w:r>
        <w:rPr>
          <w:rFonts w:eastAsia="Calibri"/>
          <w:szCs w:val="24"/>
        </w:rPr>
        <w:tab/>
        <w:t xml:space="preserve">      Robert Duchnevič</w:t>
      </w:r>
      <w:r>
        <w:rPr>
          <w:rFonts w:eastAsia="Calibri"/>
          <w:szCs w:val="24"/>
        </w:rPr>
        <w:tab/>
      </w:r>
    </w:p>
    <w:p w14:paraId="27D6E896" w14:textId="77777777" w:rsidR="009558D2" w:rsidRDefault="009558D2">
      <w:pPr>
        <w:suppressAutoHyphens/>
        <w:spacing w:line="276" w:lineRule="auto"/>
        <w:ind w:right="27"/>
        <w:rPr>
          <w:rFonts w:eastAsia="Calibri"/>
          <w:szCs w:val="24"/>
        </w:rPr>
      </w:pPr>
    </w:p>
    <w:sectPr w:rsidR="009558D2" w:rsidSect="0039435B">
      <w:headerReference w:type="even" r:id="rId8"/>
      <w:headerReference w:type="default" r:id="rId9"/>
      <w:footerReference w:type="even" r:id="rId10"/>
      <w:footerReference w:type="default" r:id="rId11"/>
      <w:headerReference w:type="first" r:id="rId12"/>
      <w:footerReference w:type="first" r:id="rId13"/>
      <w:pgSz w:w="12240" w:h="15840"/>
      <w:pgMar w:top="1134" w:right="567" w:bottom="1440" w:left="1440" w:header="567" w:footer="567"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B344" w14:textId="77777777" w:rsidR="0039435B" w:rsidRDefault="0039435B" w:rsidP="0039435B">
      <w:r>
        <w:separator/>
      </w:r>
    </w:p>
  </w:endnote>
  <w:endnote w:type="continuationSeparator" w:id="0">
    <w:p w14:paraId="2DD4189A" w14:textId="77777777" w:rsidR="0039435B" w:rsidRDefault="0039435B" w:rsidP="0039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6155" w14:textId="77777777" w:rsidR="0039435B" w:rsidRDefault="003943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D397" w14:textId="77777777" w:rsidR="0039435B" w:rsidRDefault="003943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700B" w14:textId="77777777" w:rsidR="0039435B" w:rsidRDefault="003943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7301" w14:textId="77777777" w:rsidR="0039435B" w:rsidRDefault="0039435B" w:rsidP="0039435B">
      <w:r>
        <w:separator/>
      </w:r>
    </w:p>
  </w:footnote>
  <w:footnote w:type="continuationSeparator" w:id="0">
    <w:p w14:paraId="3168C675" w14:textId="77777777" w:rsidR="0039435B" w:rsidRDefault="0039435B" w:rsidP="0039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2CD" w14:textId="77777777" w:rsidR="0039435B" w:rsidRDefault="003943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70962"/>
      <w:docPartObj>
        <w:docPartGallery w:val="Page Numbers (Top of Page)"/>
        <w:docPartUnique/>
      </w:docPartObj>
    </w:sdtPr>
    <w:sdtEndPr/>
    <w:sdtContent>
      <w:p w14:paraId="4BD04C9E" w14:textId="77777777" w:rsidR="0039435B" w:rsidRDefault="0039435B">
        <w:pPr>
          <w:pStyle w:val="Antrats"/>
          <w:jc w:val="center"/>
        </w:pPr>
        <w:r>
          <w:fldChar w:fldCharType="begin"/>
        </w:r>
        <w:r>
          <w:instrText>PAGE   \* MERGEFORMAT</w:instrText>
        </w:r>
        <w:r>
          <w:fldChar w:fldCharType="separate"/>
        </w:r>
        <w:r>
          <w:rPr>
            <w:noProof/>
          </w:rPr>
          <w:t>2</w:t>
        </w:r>
        <w:r>
          <w:fldChar w:fldCharType="end"/>
        </w:r>
      </w:p>
    </w:sdtContent>
  </w:sdt>
  <w:p w14:paraId="11182856" w14:textId="77777777" w:rsidR="0039435B" w:rsidRDefault="003943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13B5" w14:textId="77777777" w:rsidR="0039435B" w:rsidRDefault="003943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EE"/>
    <w:rsid w:val="0039435B"/>
    <w:rsid w:val="00401386"/>
    <w:rsid w:val="008F423B"/>
    <w:rsid w:val="009558D2"/>
    <w:rsid w:val="00FA53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4EB979"/>
  <w15:docId w15:val="{51CE5EA8-3500-40D4-AF53-8850B621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9435B"/>
    <w:pPr>
      <w:tabs>
        <w:tab w:val="center" w:pos="4819"/>
        <w:tab w:val="right" w:pos="9638"/>
      </w:tabs>
    </w:pPr>
  </w:style>
  <w:style w:type="character" w:customStyle="1" w:styleId="AntratsDiagrama">
    <w:name w:val="Antraštės Diagrama"/>
    <w:basedOn w:val="Numatytasispastraiposriftas"/>
    <w:link w:val="Antrats"/>
    <w:uiPriority w:val="99"/>
    <w:rsid w:val="0039435B"/>
  </w:style>
  <w:style w:type="paragraph" w:styleId="Porat">
    <w:name w:val="footer"/>
    <w:basedOn w:val="prastasis"/>
    <w:link w:val="PoratDiagrama"/>
    <w:unhideWhenUsed/>
    <w:rsid w:val="0039435B"/>
    <w:pPr>
      <w:tabs>
        <w:tab w:val="center" w:pos="4819"/>
        <w:tab w:val="right" w:pos="9638"/>
      </w:tabs>
    </w:pPr>
  </w:style>
  <w:style w:type="character" w:customStyle="1" w:styleId="PoratDiagrama">
    <w:name w:val="Poraštė Diagrama"/>
    <w:basedOn w:val="Numatytasispastraiposriftas"/>
    <w:link w:val="Porat"/>
    <w:rsid w:val="0039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2781</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Stelmach</dc:creator>
  <cp:lastModifiedBy>Edward Zakrzewski</cp:lastModifiedBy>
  <cp:revision>2</cp:revision>
  <cp:lastPrinted>2024-03-18T11:19:00Z</cp:lastPrinted>
  <dcterms:created xsi:type="dcterms:W3CDTF">2025-06-09T07:31:00Z</dcterms:created>
  <dcterms:modified xsi:type="dcterms:W3CDTF">2025-06-09T07:31:00Z</dcterms:modified>
  <dc:language>en-US</dc:language>
</cp:coreProperties>
</file>