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74E3" w14:textId="77777777" w:rsidR="00396320" w:rsidRDefault="009E2C6A" w:rsidP="008559EF">
      <w:pPr>
        <w:jc w:val="center"/>
        <w:rPr>
          <w:b/>
          <w:caps/>
          <w:szCs w:val="24"/>
        </w:rPr>
      </w:pPr>
      <w:r>
        <w:rPr>
          <w:b/>
          <w:caps/>
          <w:szCs w:val="24"/>
        </w:rPr>
        <w:t>LIETUVOS RESPUBLIKOS SPECIALIŲJŲ TYRIMŲ TARNYBOS ANTIKORUPCINIO VERTINIMO IŠVADOS</w:t>
      </w:r>
    </w:p>
    <w:p w14:paraId="4A15FCB6" w14:textId="3C08BA8C" w:rsidR="00BD7690" w:rsidRPr="00BD7690" w:rsidRDefault="00A16CEA" w:rsidP="008559EF">
      <w:pPr>
        <w:keepNext/>
        <w:jc w:val="both"/>
        <w:outlineLvl w:val="2"/>
        <w:rPr>
          <w:b/>
          <w:szCs w:val="24"/>
          <w:lang w:eastAsia="x-none"/>
        </w:rPr>
      </w:pPr>
      <w:r>
        <w:rPr>
          <w:b/>
          <w:bCs/>
          <w:szCs w:val="24"/>
        </w:rPr>
        <w:t>„</w:t>
      </w:r>
      <w:r w:rsidR="00BD7690">
        <w:rPr>
          <w:b/>
          <w:bCs/>
          <w:szCs w:val="24"/>
        </w:rPr>
        <w:t xml:space="preserve">DĖL </w:t>
      </w:r>
      <w:r w:rsidR="00BD7690" w:rsidRPr="00BD7690">
        <w:rPr>
          <w:b/>
          <w:bCs/>
          <w:szCs w:val="24"/>
        </w:rPr>
        <w:t>2025 M. VASARIO 20 D</w:t>
      </w:r>
      <w:r w:rsidR="00BD7690" w:rsidRPr="00BD7690">
        <w:rPr>
          <w:b/>
          <w:bCs/>
          <w:szCs w:val="24"/>
          <w:lang w:eastAsia="x-none"/>
        </w:rPr>
        <w:t>. LIETUVOS</w:t>
      </w:r>
      <w:r w:rsidR="00BD7690" w:rsidRPr="00991121">
        <w:rPr>
          <w:b/>
          <w:szCs w:val="24"/>
          <w:lang w:eastAsia="x-none"/>
        </w:rPr>
        <w:t xml:space="preserve"> RESPUBLIKOS SPECIALIŲJŲ TYRIMŲ TARNYBO</w:t>
      </w:r>
      <w:r w:rsidR="00BD7690">
        <w:rPr>
          <w:b/>
          <w:szCs w:val="24"/>
          <w:lang w:eastAsia="x-none"/>
        </w:rPr>
        <w:t xml:space="preserve">S IŠVADOS DĖL </w:t>
      </w:r>
      <w:r w:rsidR="00BD7690" w:rsidRPr="007E25A0">
        <w:rPr>
          <w:b/>
          <w:szCs w:val="24"/>
          <w:lang w:eastAsia="x-none"/>
        </w:rPr>
        <w:t>ANTIKORUPCINIO VERTINIMO IŠVAD</w:t>
      </w:r>
      <w:r w:rsidR="00BD7690">
        <w:rPr>
          <w:b/>
          <w:szCs w:val="24"/>
          <w:lang w:eastAsia="x-none"/>
        </w:rPr>
        <w:t xml:space="preserve">OS </w:t>
      </w:r>
      <w:r w:rsidR="00BD7690" w:rsidRPr="007E25A0">
        <w:rPr>
          <w:b/>
          <w:szCs w:val="24"/>
          <w:lang w:eastAsia="x-none"/>
        </w:rPr>
        <w:t xml:space="preserve">DĖL </w:t>
      </w:r>
      <w:r w:rsidR="00BD7690">
        <w:rPr>
          <w:b/>
          <w:szCs w:val="24"/>
          <w:lang w:eastAsia="x-none"/>
        </w:rPr>
        <w:t>MERO REZERVO LĖŠŲ NAUDOJIMO TVARKĄ REGLAMENTUOJANČIŲ TEISĖS AKTŲ</w:t>
      </w:r>
      <w:r>
        <w:rPr>
          <w:b/>
          <w:szCs w:val="24"/>
          <w:lang w:eastAsia="x-none"/>
        </w:rPr>
        <w:t>“</w:t>
      </w:r>
    </w:p>
    <w:p w14:paraId="117E030E" w14:textId="77777777" w:rsidR="00396320" w:rsidRDefault="009E2C6A" w:rsidP="008559EF">
      <w:pPr>
        <w:ind w:firstLine="62"/>
        <w:jc w:val="center"/>
        <w:rPr>
          <w:szCs w:val="24"/>
        </w:rPr>
      </w:pPr>
      <w:r>
        <w:rPr>
          <w:b/>
          <w:szCs w:val="24"/>
        </w:rPr>
        <w:t>ĮGYVENDINIMO PAŽYMA</w:t>
      </w:r>
    </w:p>
    <w:p w14:paraId="2A47FAB7" w14:textId="77777777" w:rsidR="00396320" w:rsidRDefault="00396320">
      <w:pPr>
        <w:spacing w:line="276" w:lineRule="auto"/>
        <w:jc w:val="center"/>
        <w:rPr>
          <w:b/>
          <w:caps/>
          <w:szCs w:val="24"/>
        </w:rPr>
      </w:pPr>
    </w:p>
    <w:tbl>
      <w:tblPr>
        <w:tblW w:w="9385" w:type="dxa"/>
        <w:tblInd w:w="108" w:type="dxa"/>
        <w:tblCellMar>
          <w:left w:w="10" w:type="dxa"/>
          <w:right w:w="10" w:type="dxa"/>
        </w:tblCellMar>
        <w:tblLook w:val="04A0" w:firstRow="1" w:lastRow="0" w:firstColumn="1" w:lastColumn="0" w:noHBand="0" w:noVBand="1"/>
      </w:tblPr>
      <w:tblGrid>
        <w:gridCol w:w="1629"/>
        <w:gridCol w:w="2369"/>
        <w:gridCol w:w="3686"/>
        <w:gridCol w:w="1701"/>
      </w:tblGrid>
      <w:tr w:rsidR="00396320" w14:paraId="4BB7FC48" w14:textId="77777777" w:rsidTr="00874271">
        <w:trPr>
          <w:cantSplit/>
          <w:trHeight w:val="737"/>
        </w:trPr>
        <w:tc>
          <w:tcPr>
            <w:tcW w:w="39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A1506" w14:textId="77777777" w:rsidR="00396320" w:rsidRDefault="009E2C6A">
            <w:pPr>
              <w:spacing w:line="276" w:lineRule="auto"/>
              <w:jc w:val="center"/>
              <w:rPr>
                <w:i/>
                <w:szCs w:val="24"/>
              </w:rPr>
            </w:pPr>
            <w:r>
              <w:rPr>
                <w:i/>
                <w:szCs w:val="24"/>
              </w:rPr>
              <w:t>STT pastabos ir pasiūlymai</w:t>
            </w:r>
            <w:r>
              <w:rPr>
                <w:i/>
                <w:szCs w:val="24"/>
                <w:vertAlign w:val="superscript"/>
              </w:rPr>
              <w:footnoteReference w:id="2"/>
            </w:r>
          </w:p>
        </w:tc>
        <w:tc>
          <w:tcPr>
            <w:tcW w:w="3686" w:type="dxa"/>
            <w:tcBorders>
              <w:top w:val="single" w:sz="4" w:space="0" w:color="000000"/>
              <w:left w:val="single" w:sz="4" w:space="0" w:color="000000"/>
              <w:bottom w:val="single" w:sz="4" w:space="0" w:color="000000"/>
              <w:right w:val="single" w:sz="4" w:space="0" w:color="000000"/>
            </w:tcBorders>
            <w:hideMark/>
          </w:tcPr>
          <w:p w14:paraId="4EB55927" w14:textId="77777777" w:rsidR="00396320" w:rsidRDefault="009E2C6A">
            <w:pPr>
              <w:spacing w:line="276" w:lineRule="auto"/>
              <w:jc w:val="center"/>
              <w:rPr>
                <w:i/>
                <w:szCs w:val="24"/>
              </w:rPr>
            </w:pPr>
            <w:r>
              <w:rPr>
                <w:i/>
                <w:szCs w:val="24"/>
              </w:rPr>
              <w:t>Informacija apie pastabų ir pasiūlymų įgyvendinimą</w:t>
            </w:r>
            <w:r>
              <w:rPr>
                <w:i/>
                <w:szCs w:val="24"/>
                <w:vertAlign w:val="superscript"/>
              </w:rPr>
              <w:footnoteReference w:id="3"/>
            </w:r>
          </w:p>
        </w:tc>
        <w:tc>
          <w:tcPr>
            <w:tcW w:w="1701" w:type="dxa"/>
            <w:tcBorders>
              <w:top w:val="single" w:sz="4" w:space="0" w:color="000000"/>
              <w:left w:val="single" w:sz="4" w:space="0" w:color="000000"/>
              <w:bottom w:val="single" w:sz="4" w:space="0" w:color="000000"/>
              <w:right w:val="single" w:sz="4" w:space="0" w:color="000000"/>
            </w:tcBorders>
            <w:hideMark/>
          </w:tcPr>
          <w:p w14:paraId="1E29FC12" w14:textId="77777777" w:rsidR="00396320" w:rsidRDefault="009E2C6A">
            <w:pPr>
              <w:spacing w:line="276" w:lineRule="auto"/>
              <w:jc w:val="center"/>
              <w:rPr>
                <w:i/>
                <w:szCs w:val="24"/>
              </w:rPr>
            </w:pPr>
            <w:r>
              <w:rPr>
                <w:i/>
                <w:szCs w:val="24"/>
              </w:rPr>
              <w:t xml:space="preserve">Specialiųjų tyrimų tarnybos vertinimas </w:t>
            </w:r>
            <w:r>
              <w:rPr>
                <w:i/>
                <w:szCs w:val="24"/>
                <w:vertAlign w:val="superscript"/>
              </w:rPr>
              <w:footnoteReference w:id="4"/>
            </w:r>
          </w:p>
        </w:tc>
      </w:tr>
      <w:tr w:rsidR="00396320" w14:paraId="2A6094D3" w14:textId="77777777" w:rsidTr="00874271">
        <w:trPr>
          <w:trHeight w:val="788"/>
        </w:trPr>
        <w:tc>
          <w:tcPr>
            <w:tcW w:w="162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562368" w14:textId="77777777" w:rsidR="00396320" w:rsidRDefault="009E2C6A">
            <w:pPr>
              <w:spacing w:line="276" w:lineRule="auto"/>
              <w:jc w:val="center"/>
              <w:rPr>
                <w:szCs w:val="24"/>
              </w:rPr>
            </w:pPr>
            <w:r>
              <w:rPr>
                <w:color w:val="000000"/>
                <w:szCs w:val="24"/>
              </w:rPr>
              <w:t>Kritinės antikorupcinės pastabos ir pasiūlymai</w:t>
            </w: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08763B" w14:textId="10FB91EF" w:rsidR="004250D9" w:rsidRDefault="00121F72" w:rsidP="00A24857">
            <w:pPr>
              <w:jc w:val="both"/>
              <w:rPr>
                <w:bCs/>
              </w:rPr>
            </w:pPr>
            <w:r w:rsidRPr="00B45798">
              <w:rPr>
                <w:lang w:eastAsia="lt-LT"/>
              </w:rPr>
              <w:t>Numatyti maksimalias išmokų sumas, pavyzdžiui, diferencijuojant pagal patirtus nuostolius, turtą, kuriam padaryta žala, pan</w:t>
            </w:r>
            <w:r w:rsidR="000C4EC2" w:rsidRPr="00B45798">
              <w:rPr>
                <w:lang w:eastAsia="lt-LT"/>
              </w:rPr>
              <w:t>.</w:t>
            </w:r>
          </w:p>
          <w:p w14:paraId="31FC8FA2" w14:textId="77777777" w:rsidR="000C4EC2" w:rsidRDefault="000C4EC2">
            <w:pPr>
              <w:spacing w:line="276" w:lineRule="auto"/>
              <w:jc w:val="both"/>
              <w:rPr>
                <w:bCs/>
              </w:rPr>
            </w:pPr>
          </w:p>
          <w:p w14:paraId="5D4C611D" w14:textId="77777777" w:rsidR="000C4EC2" w:rsidRDefault="000C4EC2">
            <w:pPr>
              <w:spacing w:line="276" w:lineRule="auto"/>
              <w:jc w:val="both"/>
              <w:rPr>
                <w:bCs/>
              </w:rPr>
            </w:pPr>
          </w:p>
          <w:p w14:paraId="035B3088" w14:textId="77777777" w:rsidR="000C4EC2" w:rsidRDefault="000C4EC2">
            <w:pPr>
              <w:spacing w:line="276" w:lineRule="auto"/>
              <w:jc w:val="both"/>
              <w:rPr>
                <w:bCs/>
              </w:rPr>
            </w:pPr>
          </w:p>
          <w:p w14:paraId="4909623E" w14:textId="77777777" w:rsidR="000C4EC2" w:rsidRDefault="000C4EC2">
            <w:pPr>
              <w:spacing w:line="276" w:lineRule="auto"/>
              <w:jc w:val="both"/>
              <w:rPr>
                <w:bCs/>
              </w:rPr>
            </w:pPr>
          </w:p>
          <w:p w14:paraId="3F993109" w14:textId="170B9065" w:rsidR="00020B65" w:rsidRPr="000E170E" w:rsidRDefault="00020B65">
            <w:pPr>
              <w:spacing w:line="276" w:lineRule="auto"/>
              <w:jc w:val="both"/>
              <w:rPr>
                <w:bC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083006D" w14:textId="6FFCFCC7" w:rsidR="000C4EC2" w:rsidRDefault="00B4561D" w:rsidP="000C4EC2">
            <w:pPr>
              <w:jc w:val="both"/>
            </w:pPr>
            <w:r w:rsidRPr="00B4561D">
              <w:t>9. Rezervo lėšos gali būti skiriamos:</w:t>
            </w:r>
            <w:r w:rsidRPr="00B4561D">
              <w:t xml:space="preserve"> </w:t>
            </w:r>
            <w:r w:rsidR="000C4EC2">
              <w:t>„9.1. Vilniaus rajono gyventojams (toliau – Asmenys), deklaravusiems savo gyvenamąją vietą Savivaldybės teritorijoje ir turintiems nuosavybės teise registruoto nekilnojamojo turto Vilniaus rajone, kurių gyvenamieji namai ir butai ar kiti ūkio paskirties pastatai (toliau – Turtas) nukentėjo nuo 6.2 papunktyje nurodytų aplinkybių. Jei yra keli Turto savininkai, lėšos skiriamos proporcingai turimo turto daliai, kiekvienas iš savininkų turi kreiptis asmeniškai. Vienam Asmeniui gali būti skiriamas finansavimas už vieną Turto vienetą (nepriklausomai nuo įvykio metu apgadintų pastatų kiekio) ne dažniau kaip vieną kartą per metus:</w:t>
            </w:r>
          </w:p>
          <w:p w14:paraId="0CB41211" w14:textId="77777777" w:rsidR="000C4EC2" w:rsidRDefault="000C4EC2" w:rsidP="000C4EC2">
            <w:pPr>
              <w:jc w:val="both"/>
            </w:pPr>
            <w:r>
              <w:t>9.1.1. Sudegus gyvenamajam namui, butui – ne didesnė kaip 7 000 Eur suma;</w:t>
            </w:r>
          </w:p>
          <w:p w14:paraId="7325E00D" w14:textId="77777777" w:rsidR="000C4EC2" w:rsidRDefault="000C4EC2" w:rsidP="000C4EC2">
            <w:pPr>
              <w:jc w:val="both"/>
            </w:pPr>
            <w:r>
              <w:t>9.1.2. Įvykus gaisrui gyvenamajame name, bute ar įvykus stichinei nelaimei ir nukentėjus gyvenamajam namui, butui – ne didesnė kaip 3 500 Eur suma;</w:t>
            </w:r>
          </w:p>
          <w:p w14:paraId="0F1156AD" w14:textId="77777777" w:rsidR="000C4EC2" w:rsidRDefault="000C4EC2" w:rsidP="000C4EC2">
            <w:pPr>
              <w:jc w:val="both"/>
            </w:pPr>
            <w:r>
              <w:t>9.1.3. Sudegus sodo namui – ne didesnė kaip 3 000 Eur suma;</w:t>
            </w:r>
          </w:p>
          <w:p w14:paraId="2736D961" w14:textId="77777777" w:rsidR="000C4EC2" w:rsidRDefault="000C4EC2" w:rsidP="000C4EC2">
            <w:pPr>
              <w:jc w:val="both"/>
            </w:pPr>
            <w:r>
              <w:t>9.1.4. Įvykus gaisrui ar įvykus stichinei nelaimei ir nukentėjus sodo namui – ne didesnė kaip 1 500 eurų suma;</w:t>
            </w:r>
          </w:p>
          <w:p w14:paraId="7E3E305B" w14:textId="77777777" w:rsidR="000C4EC2" w:rsidRDefault="000C4EC2" w:rsidP="000C4EC2">
            <w:pPr>
              <w:jc w:val="both"/>
            </w:pPr>
            <w:r>
              <w:t>9.1.5. Sudegus ūkiniam pastatui – ne didesnė kaip 1 000 Eur suma;</w:t>
            </w:r>
          </w:p>
          <w:p w14:paraId="72FB019B" w14:textId="5F188E48" w:rsidR="00EB1698" w:rsidRPr="000C4EC2" w:rsidRDefault="000C4EC2" w:rsidP="000C4EC2">
            <w:pPr>
              <w:jc w:val="both"/>
            </w:pPr>
            <w:r>
              <w:lastRenderedPageBreak/>
              <w:t>9.1.6. Įvykus gaisrui ūkiniame pastate ar  įvykus stichinei nelaimei nukentėjus ūkiniam pastatui – ne didesnė kaip 500 Eur suma.;</w:t>
            </w:r>
            <w:r w:rsidR="00FE1FAD">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2798142" w14:textId="77777777" w:rsidR="00396320" w:rsidRDefault="00396320">
            <w:pPr>
              <w:spacing w:line="276" w:lineRule="auto"/>
              <w:jc w:val="both"/>
              <w:rPr>
                <w:b/>
                <w:szCs w:val="24"/>
              </w:rPr>
            </w:pPr>
          </w:p>
        </w:tc>
      </w:tr>
      <w:tr w:rsidR="00396320" w14:paraId="3595DBFB" w14:textId="77777777" w:rsidTr="00874271">
        <w:trPr>
          <w:trHeight w:val="788"/>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14:paraId="563A1FF1" w14:textId="77777777" w:rsidR="00396320" w:rsidRDefault="00396320">
            <w:pPr>
              <w:spacing w:line="276" w:lineRule="auto"/>
              <w:rPr>
                <w:szCs w:val="24"/>
              </w:rPr>
            </w:pP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850B9" w14:textId="60B5EBFE" w:rsidR="00396320" w:rsidRPr="00FE1FAD" w:rsidRDefault="000C4EC2" w:rsidP="00FE1FAD">
            <w:pPr>
              <w:jc w:val="both"/>
              <w:rPr>
                <w:bCs/>
              </w:rPr>
            </w:pPr>
            <w:r>
              <w:rPr>
                <w:bCs/>
              </w:rPr>
              <w:t>2.</w:t>
            </w:r>
            <w:r w:rsidR="00874271">
              <w:rPr>
                <w:bCs/>
              </w:rPr>
              <w:t>D</w:t>
            </w:r>
            <w:r w:rsidRPr="00E50E08">
              <w:rPr>
                <w:bCs/>
              </w:rPr>
              <w:t>etalizuoti kolegialaus subjekto, dalyvaujančio nagrinėjant paraiškas bei priimant sprendimus dėl išmokos (ne)skyrimo sudarymo, kompetencijos, kadencijos, interesų konfliktų prevencijos ir kitus aktualius teisinius aspektus, užtikrinant priimamų sprendimų skaidrumą, objektyvumą ir pagrįstumą</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37C2854" w14:textId="289F670D" w:rsidR="00DD6464" w:rsidRDefault="00DD6464" w:rsidP="007B6DAF">
            <w:pPr>
              <w:ind w:left="-11"/>
              <w:jc w:val="both"/>
            </w:pPr>
            <w:r w:rsidRPr="00DD6464">
              <w:t>„10.1. Asmenys motyvuotus prašymus teikia seniūnijų seniūnams ne vėliau kaip per 60 kalendorinių dienų nuo Aprašo 6 punkte nurodytų aplinkybių atsiradimo. Kartu su prašymu pateikia finansavimo poreikį pagrindžiančius dokumentus, nuosavybės dokumentus, Priešgaisrinės gelbėjimo tarnybos ar Hidrometeorologinės tarnybos pažymą (gaisro ar stichinės nelaimės atveju), sutartis ir / ar kitus žalą patvirtinančius dokumentus, 9.2 papunktyje nurodytu atveju – butų savininkų balsų dauguma priimtą sprendimą dėl namo bendrojo naudojimo objektų remonto ir kreipimosi dėl pagalbos, pateikia bendrojo naudojimo objektų remonto sąmatą. Seniūnai, gavę Asmens ar daugiabučio namo valdytojo prašymą, parengia raštą dėl Rezervo lėšų skyrimo ir teikia Savivaldybės merui, kartu su Asmenų pateiktais išlaidas pagrindžiančiais dokumentais ir aktais, pateikia išrašus iš nekilnojamojo turto registro, nurodo duomenis apie Asmenį, banko sąskaitą, į kurią prašomą pervesti lėšas, užpildytą buities tyrimo aktą. Savininko mirties atveju, kol bus sutvarkyti paveldėjimo dokumentai, pašymų kompensacijai pateikimų terminas pratęsiamas iki 120 kalendorinių dienų (su galimybe pratęsti, pateikiant motyvuotą prašymą dėl užtrukusių paveldėjimo dokumentų tvarkymosi);“;</w:t>
            </w:r>
          </w:p>
          <w:p w14:paraId="305BD630" w14:textId="40C29287" w:rsidR="007B6DAF" w:rsidRDefault="00FE1FAD" w:rsidP="007B6DAF">
            <w:pPr>
              <w:ind w:left="-11"/>
              <w:jc w:val="both"/>
            </w:pPr>
            <w:r>
              <w:t>„</w:t>
            </w:r>
            <w:r w:rsidRPr="0054763C">
              <w:t>13</w:t>
            </w:r>
            <w:r w:rsidR="00B4561D">
              <w:t xml:space="preserve"> </w:t>
            </w:r>
            <w:r>
              <w:t>p</w:t>
            </w:r>
            <w:r w:rsidRPr="0054763C">
              <w:t>. Savivaldybės meras, atsižvelgęs į Komisijos siūlymą, per 3 d. d. priima sprendimą:“</w:t>
            </w:r>
            <w:r w:rsidR="007B6DAF">
              <w:t xml:space="preserve"> </w:t>
            </w:r>
          </w:p>
          <w:p w14:paraId="6AE4C2C2" w14:textId="0546A302" w:rsidR="007B6DAF" w:rsidRDefault="007B6DAF" w:rsidP="007B6DAF">
            <w:pPr>
              <w:ind w:left="-11"/>
              <w:jc w:val="both"/>
            </w:pPr>
            <w:r>
              <w:t>13.1. prašymo netenkinti</w:t>
            </w:r>
            <w:r w:rsidR="00817D63">
              <w:t>:</w:t>
            </w:r>
          </w:p>
          <w:p w14:paraId="4570924A" w14:textId="7FF866F9" w:rsidR="007B6DAF" w:rsidRDefault="007B6DAF" w:rsidP="007B6DAF">
            <w:pPr>
              <w:jc w:val="both"/>
            </w:pPr>
            <w:r>
              <w:t>13.2. prašymą tenkinti;</w:t>
            </w:r>
          </w:p>
          <w:p w14:paraId="016D7977" w14:textId="0D312377" w:rsidR="00396320" w:rsidRDefault="007B6DAF" w:rsidP="007B6DAF">
            <w:pPr>
              <w:jc w:val="both"/>
              <w:rPr>
                <w:b/>
                <w:szCs w:val="24"/>
              </w:rPr>
            </w:pPr>
            <w:r>
              <w:t>13.3. prašymą tenkinti iš dalies</w:t>
            </w:r>
            <w: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FD97CCE" w14:textId="77777777" w:rsidR="00396320" w:rsidRDefault="00396320">
            <w:pPr>
              <w:spacing w:line="276" w:lineRule="auto"/>
              <w:jc w:val="both"/>
              <w:rPr>
                <w:b/>
                <w:szCs w:val="24"/>
              </w:rPr>
            </w:pPr>
          </w:p>
        </w:tc>
      </w:tr>
      <w:tr w:rsidR="00396320" w14:paraId="7A641485" w14:textId="77777777" w:rsidTr="00874271">
        <w:trPr>
          <w:trHeight w:val="788"/>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14:paraId="5124F5C3" w14:textId="77777777" w:rsidR="00396320" w:rsidRDefault="00396320">
            <w:pPr>
              <w:spacing w:line="276" w:lineRule="auto"/>
              <w:rPr>
                <w:szCs w:val="24"/>
              </w:rPr>
            </w:pP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521EB" w14:textId="31AF3634" w:rsidR="00396320" w:rsidRDefault="000C4EC2" w:rsidP="00FE1FAD">
            <w:pPr>
              <w:jc w:val="both"/>
              <w:rPr>
                <w:b/>
                <w:szCs w:val="24"/>
              </w:rPr>
            </w:pPr>
            <w:r>
              <w:rPr>
                <w:bCs/>
              </w:rPr>
              <w:t>3.</w:t>
            </w:r>
            <w:r>
              <w:t>M</w:t>
            </w:r>
            <w:r w:rsidRPr="00E50E08">
              <w:t>anytina kad lėšų iš mero</w:t>
            </w:r>
            <w:r>
              <w:t xml:space="preserve"> </w:t>
            </w:r>
            <w:r w:rsidRPr="00E50E08">
              <w:t>rezervo panaudojimo kontrolė nėra pakankama</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0422F351" w14:textId="17368759" w:rsidR="00396320" w:rsidRDefault="000C4EC2" w:rsidP="00FE1FAD">
            <w:pPr>
              <w:jc w:val="both"/>
              <w:rPr>
                <w:b/>
                <w:szCs w:val="24"/>
              </w:rPr>
            </w:pPr>
            <w:r w:rsidRPr="0054763C">
              <w:t>23</w:t>
            </w:r>
            <w:r w:rsidR="00B4561D">
              <w:t xml:space="preserve"> </w:t>
            </w:r>
            <w:r>
              <w:t>p</w:t>
            </w:r>
            <w:r w:rsidRPr="0054763C">
              <w:t>. Lėšų iš rezervo panaudojimo tikslingumo ir teisėtumo kontrolę vykdo Savivaldybės kontrolės ir audito tarnyba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BDD0DB7" w14:textId="77777777" w:rsidR="00396320" w:rsidRDefault="00396320">
            <w:pPr>
              <w:spacing w:line="276" w:lineRule="auto"/>
              <w:jc w:val="both"/>
              <w:rPr>
                <w:b/>
                <w:szCs w:val="24"/>
              </w:rPr>
            </w:pPr>
          </w:p>
        </w:tc>
      </w:tr>
      <w:tr w:rsidR="00396320" w14:paraId="76812A89" w14:textId="77777777" w:rsidTr="00874271">
        <w:trPr>
          <w:trHeight w:val="862"/>
        </w:trPr>
        <w:tc>
          <w:tcPr>
            <w:tcW w:w="1629"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14:paraId="6C7439DC" w14:textId="77777777" w:rsidR="00396320" w:rsidRDefault="009E2C6A">
            <w:pPr>
              <w:widowControl w:val="0"/>
              <w:tabs>
                <w:tab w:val="right" w:leader="underscore" w:pos="9072"/>
              </w:tabs>
              <w:suppressAutoHyphens/>
              <w:spacing w:line="276" w:lineRule="auto"/>
              <w:jc w:val="center"/>
              <w:textAlignment w:val="baseline"/>
              <w:rPr>
                <w:color w:val="000000"/>
                <w:szCs w:val="24"/>
              </w:rPr>
            </w:pPr>
            <w:r>
              <w:rPr>
                <w:color w:val="000000"/>
                <w:szCs w:val="24"/>
              </w:rPr>
              <w:lastRenderedPageBreak/>
              <w:t>Kitos antikorupcinės pastabos ir pasiūlymai</w:t>
            </w:r>
          </w:p>
          <w:p w14:paraId="41DC9D64" w14:textId="77777777" w:rsidR="00396320" w:rsidRDefault="00396320">
            <w:pPr>
              <w:spacing w:line="276" w:lineRule="auto"/>
              <w:jc w:val="both"/>
              <w:rPr>
                <w:szCs w:val="24"/>
              </w:rPr>
            </w:pP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ED188" w14:textId="1934469C" w:rsidR="00396320" w:rsidRDefault="00C80FC1">
            <w:pPr>
              <w:spacing w:line="276" w:lineRule="auto"/>
              <w:jc w:val="both"/>
              <w:rPr>
                <w:b/>
                <w:szCs w:val="24"/>
              </w:rPr>
            </w:pPr>
            <w:r>
              <w:rPr>
                <w:b/>
                <w:szCs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D091DD4" w14:textId="0585A0CC" w:rsidR="00396320" w:rsidRDefault="00C80FC1">
            <w:pPr>
              <w:spacing w:line="276" w:lineRule="auto"/>
              <w:jc w:val="both"/>
              <w:rPr>
                <w:b/>
                <w:szCs w:val="24"/>
              </w:rPr>
            </w:pPr>
            <w:r>
              <w:rPr>
                <w:b/>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1CA3C88" w14:textId="77777777" w:rsidR="00396320" w:rsidRDefault="00396320">
            <w:pPr>
              <w:spacing w:line="276" w:lineRule="auto"/>
              <w:jc w:val="both"/>
              <w:rPr>
                <w:b/>
                <w:szCs w:val="24"/>
              </w:rPr>
            </w:pPr>
          </w:p>
        </w:tc>
      </w:tr>
      <w:tr w:rsidR="00396320" w14:paraId="04A70635" w14:textId="77777777" w:rsidTr="00874271">
        <w:trPr>
          <w:trHeight w:val="788"/>
        </w:trPr>
        <w:tc>
          <w:tcPr>
            <w:tcW w:w="1629" w:type="dxa"/>
            <w:tcBorders>
              <w:top w:val="nil"/>
              <w:left w:val="single" w:sz="4" w:space="0" w:color="000000"/>
              <w:bottom w:val="nil"/>
              <w:right w:val="single" w:sz="4" w:space="0" w:color="000000"/>
            </w:tcBorders>
            <w:shd w:val="clear" w:color="auto" w:fill="FFFFFF"/>
            <w:tcMar>
              <w:top w:w="0" w:type="dxa"/>
              <w:left w:w="108" w:type="dxa"/>
              <w:bottom w:w="0" w:type="dxa"/>
              <w:right w:w="108" w:type="dxa"/>
            </w:tcMar>
          </w:tcPr>
          <w:p w14:paraId="5449B0CC" w14:textId="77777777" w:rsidR="00396320" w:rsidRDefault="00396320">
            <w:pPr>
              <w:spacing w:line="276" w:lineRule="auto"/>
              <w:jc w:val="both"/>
              <w:rPr>
                <w:szCs w:val="24"/>
              </w:rPr>
            </w:pP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052A9" w14:textId="77777777" w:rsidR="00396320" w:rsidRDefault="00396320">
            <w:pPr>
              <w:spacing w:line="276" w:lineRule="auto"/>
              <w:jc w:val="both"/>
              <w:rPr>
                <w:b/>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F3FDAFC" w14:textId="77777777" w:rsidR="00396320" w:rsidRDefault="00396320">
            <w:pPr>
              <w:spacing w:line="276" w:lineRule="auto"/>
              <w:jc w:val="both"/>
              <w:rPr>
                <w:b/>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FC0DB39" w14:textId="77777777" w:rsidR="00396320" w:rsidRDefault="00396320">
            <w:pPr>
              <w:spacing w:line="276" w:lineRule="auto"/>
              <w:jc w:val="both"/>
              <w:rPr>
                <w:b/>
                <w:szCs w:val="24"/>
              </w:rPr>
            </w:pPr>
          </w:p>
        </w:tc>
      </w:tr>
      <w:tr w:rsidR="00396320" w14:paraId="47683130" w14:textId="77777777" w:rsidTr="00874271">
        <w:trPr>
          <w:trHeight w:val="788"/>
        </w:trPr>
        <w:tc>
          <w:tcPr>
            <w:tcW w:w="1629"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5D355" w14:textId="77777777" w:rsidR="00396320" w:rsidRDefault="00396320">
            <w:pPr>
              <w:spacing w:line="276" w:lineRule="auto"/>
              <w:jc w:val="both"/>
              <w:rPr>
                <w:szCs w:val="24"/>
              </w:rPr>
            </w:pP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A92091" w14:textId="77777777" w:rsidR="00396320" w:rsidRDefault="00396320">
            <w:pPr>
              <w:spacing w:line="276" w:lineRule="auto"/>
              <w:jc w:val="both"/>
              <w:rPr>
                <w:b/>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D535FD2" w14:textId="77777777" w:rsidR="00396320" w:rsidRDefault="00396320">
            <w:pPr>
              <w:spacing w:line="276" w:lineRule="auto"/>
              <w:jc w:val="both"/>
              <w:rPr>
                <w:b/>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28FF2F3" w14:textId="77777777" w:rsidR="00396320" w:rsidRDefault="00396320">
            <w:pPr>
              <w:spacing w:line="276" w:lineRule="auto"/>
              <w:jc w:val="both"/>
              <w:rPr>
                <w:b/>
                <w:szCs w:val="24"/>
              </w:rPr>
            </w:pPr>
          </w:p>
        </w:tc>
      </w:tr>
      <w:tr w:rsidR="00396320" w14:paraId="0CE3DE3E" w14:textId="77777777" w:rsidTr="00874271">
        <w:trPr>
          <w:trHeight w:val="788"/>
        </w:trPr>
        <w:tc>
          <w:tcPr>
            <w:tcW w:w="162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33E146" w14:textId="77777777" w:rsidR="00396320" w:rsidRDefault="009E2C6A">
            <w:pPr>
              <w:widowControl w:val="0"/>
              <w:tabs>
                <w:tab w:val="right" w:leader="underscore" w:pos="9072"/>
              </w:tabs>
              <w:suppressAutoHyphens/>
              <w:spacing w:line="276" w:lineRule="auto"/>
              <w:jc w:val="center"/>
              <w:textAlignment w:val="baseline"/>
              <w:rPr>
                <w:szCs w:val="24"/>
              </w:rPr>
            </w:pPr>
            <w:r>
              <w:rPr>
                <w:color w:val="000000"/>
                <w:szCs w:val="24"/>
              </w:rPr>
              <w:t>Kitos pastabos ir pasiūlymai</w:t>
            </w: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55DDF1" w14:textId="72766894" w:rsidR="00396320" w:rsidRDefault="00C80FC1">
            <w:pPr>
              <w:spacing w:line="276" w:lineRule="auto"/>
              <w:jc w:val="both"/>
              <w:rPr>
                <w:b/>
                <w:szCs w:val="24"/>
              </w:rPr>
            </w:pPr>
            <w:r>
              <w:rPr>
                <w:b/>
                <w:szCs w:val="24"/>
              </w:rPr>
              <w:t>-</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1306A81" w14:textId="4396F7FE" w:rsidR="00396320" w:rsidRDefault="00C80FC1">
            <w:pPr>
              <w:spacing w:line="276" w:lineRule="auto"/>
              <w:jc w:val="both"/>
              <w:rPr>
                <w:b/>
                <w:szCs w:val="24"/>
              </w:rPr>
            </w:pPr>
            <w:r>
              <w:rPr>
                <w:b/>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9729C53" w14:textId="77777777" w:rsidR="00396320" w:rsidRDefault="00396320">
            <w:pPr>
              <w:spacing w:line="276" w:lineRule="auto"/>
              <w:jc w:val="both"/>
              <w:rPr>
                <w:b/>
                <w:szCs w:val="24"/>
              </w:rPr>
            </w:pPr>
          </w:p>
        </w:tc>
      </w:tr>
      <w:tr w:rsidR="00396320" w14:paraId="3F105FD0" w14:textId="77777777" w:rsidTr="00874271">
        <w:trPr>
          <w:trHeight w:val="788"/>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14:paraId="1CD1ABF2" w14:textId="77777777" w:rsidR="00396320" w:rsidRDefault="00396320">
            <w:pPr>
              <w:spacing w:line="276" w:lineRule="auto"/>
              <w:rPr>
                <w:szCs w:val="24"/>
              </w:rPr>
            </w:pP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E17F7" w14:textId="77777777" w:rsidR="00396320" w:rsidRDefault="00396320">
            <w:pPr>
              <w:spacing w:line="276" w:lineRule="auto"/>
              <w:jc w:val="both"/>
              <w:rPr>
                <w:b/>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41AA2949" w14:textId="77777777" w:rsidR="00396320" w:rsidRDefault="00396320">
            <w:pPr>
              <w:spacing w:line="276" w:lineRule="auto"/>
              <w:jc w:val="both"/>
              <w:rPr>
                <w:b/>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7FEA518" w14:textId="77777777" w:rsidR="00396320" w:rsidRDefault="00396320">
            <w:pPr>
              <w:spacing w:line="276" w:lineRule="auto"/>
              <w:jc w:val="both"/>
              <w:rPr>
                <w:b/>
                <w:szCs w:val="24"/>
              </w:rPr>
            </w:pPr>
          </w:p>
        </w:tc>
      </w:tr>
      <w:tr w:rsidR="00396320" w14:paraId="0D275CE9" w14:textId="77777777" w:rsidTr="00874271">
        <w:trPr>
          <w:trHeight w:val="788"/>
        </w:trPr>
        <w:tc>
          <w:tcPr>
            <w:tcW w:w="1629" w:type="dxa"/>
            <w:vMerge/>
            <w:tcBorders>
              <w:top w:val="single" w:sz="4" w:space="0" w:color="000000"/>
              <w:left w:val="single" w:sz="4" w:space="0" w:color="000000"/>
              <w:bottom w:val="single" w:sz="4" w:space="0" w:color="000000"/>
              <w:right w:val="single" w:sz="4" w:space="0" w:color="000000"/>
            </w:tcBorders>
            <w:vAlign w:val="center"/>
            <w:hideMark/>
          </w:tcPr>
          <w:p w14:paraId="72387D16" w14:textId="77777777" w:rsidR="00396320" w:rsidRDefault="00396320">
            <w:pPr>
              <w:spacing w:line="276" w:lineRule="auto"/>
              <w:rPr>
                <w:szCs w:val="24"/>
              </w:rPr>
            </w:pPr>
          </w:p>
        </w:tc>
        <w:tc>
          <w:tcPr>
            <w:tcW w:w="2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39C9D" w14:textId="77777777" w:rsidR="00396320" w:rsidRDefault="00396320">
            <w:pPr>
              <w:spacing w:line="276" w:lineRule="auto"/>
              <w:jc w:val="both"/>
              <w:rPr>
                <w:b/>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7D3C3B54" w14:textId="77777777" w:rsidR="00396320" w:rsidRDefault="00396320">
            <w:pPr>
              <w:spacing w:line="276" w:lineRule="auto"/>
              <w:jc w:val="both"/>
              <w:rPr>
                <w:b/>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0ABCEEF1" w14:textId="77777777" w:rsidR="00396320" w:rsidRDefault="00396320">
            <w:pPr>
              <w:spacing w:line="276" w:lineRule="auto"/>
              <w:jc w:val="both"/>
              <w:rPr>
                <w:b/>
                <w:szCs w:val="24"/>
              </w:rPr>
            </w:pPr>
          </w:p>
        </w:tc>
      </w:tr>
    </w:tbl>
    <w:p w14:paraId="3A240374" w14:textId="77777777" w:rsidR="00396320" w:rsidRDefault="00396320">
      <w:pPr>
        <w:spacing w:line="276" w:lineRule="auto"/>
        <w:rPr>
          <w:szCs w:val="24"/>
        </w:rPr>
      </w:pPr>
    </w:p>
    <w:p w14:paraId="12A54472" w14:textId="77777777" w:rsidR="00396320" w:rsidRDefault="009E2C6A" w:rsidP="009E2C6A">
      <w:pPr>
        <w:spacing w:line="276" w:lineRule="auto"/>
        <w:jc w:val="center"/>
      </w:pPr>
      <w:r>
        <w:rPr>
          <w:szCs w:val="24"/>
        </w:rPr>
        <w:t>____________</w:t>
      </w:r>
    </w:p>
    <w:sectPr w:rsidR="00396320" w:rsidSect="00991121">
      <w:headerReference w:type="even" r:id="rId7"/>
      <w:headerReference w:type="default" r:id="rId8"/>
      <w:footerReference w:type="even" r:id="rId9"/>
      <w:footerReference w:type="default" r:id="rId10"/>
      <w:headerReference w:type="first" r:id="rId11"/>
      <w:footerReference w:type="first" r:id="rId12"/>
      <w:pgSz w:w="11907" w:h="16840" w:code="9"/>
      <w:pgMar w:top="1134" w:right="708" w:bottom="1560" w:left="1701" w:header="284"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01E6" w14:textId="77777777" w:rsidR="005A633E" w:rsidRDefault="005A633E">
      <w:r>
        <w:separator/>
      </w:r>
    </w:p>
  </w:endnote>
  <w:endnote w:type="continuationSeparator" w:id="0">
    <w:p w14:paraId="535370B7" w14:textId="77777777" w:rsidR="005A633E" w:rsidRDefault="005A633E">
      <w:r>
        <w:continuationSeparator/>
      </w:r>
    </w:p>
  </w:endnote>
  <w:endnote w:type="continuationNotice" w:id="1">
    <w:p w14:paraId="0BC9DD03" w14:textId="77777777" w:rsidR="005A633E" w:rsidRDefault="005A6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9793" w14:textId="77777777" w:rsidR="00396320" w:rsidRDefault="0039632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A451" w14:textId="77777777" w:rsidR="00396320" w:rsidRDefault="0039632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999A" w14:textId="77777777" w:rsidR="00396320" w:rsidRPr="00991121" w:rsidRDefault="00396320">
    <w:pPr>
      <w:tabs>
        <w:tab w:val="center" w:pos="4819"/>
        <w:tab w:val="right" w:pos="9638"/>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9FFC" w14:textId="77777777" w:rsidR="005A633E" w:rsidRDefault="005A633E">
      <w:r>
        <w:separator/>
      </w:r>
    </w:p>
  </w:footnote>
  <w:footnote w:type="continuationSeparator" w:id="0">
    <w:p w14:paraId="0D700B34" w14:textId="77777777" w:rsidR="005A633E" w:rsidRDefault="005A633E">
      <w:r>
        <w:continuationSeparator/>
      </w:r>
    </w:p>
  </w:footnote>
  <w:footnote w:type="continuationNotice" w:id="1">
    <w:p w14:paraId="796364C6" w14:textId="77777777" w:rsidR="005A633E" w:rsidRDefault="005A633E"/>
  </w:footnote>
  <w:footnote w:id="2">
    <w:p w14:paraId="62ECE102" w14:textId="77777777" w:rsidR="00396320" w:rsidRDefault="009E2C6A">
      <w:pPr>
        <w:suppressAutoHyphens/>
        <w:rPr>
          <w:rFonts w:eastAsia="Calibri"/>
          <w:sz w:val="20"/>
        </w:rPr>
      </w:pPr>
      <w:r>
        <w:rPr>
          <w:rFonts w:eastAsia="Calibri"/>
          <w:sz w:val="20"/>
          <w:vertAlign w:val="superscript"/>
          <w:lang w:val="en-US"/>
        </w:rPr>
        <w:footnoteRef/>
      </w:r>
      <w:r w:rsidRPr="00991121">
        <w:rPr>
          <w:rFonts w:eastAsia="Calibri"/>
          <w:sz w:val="20"/>
          <w:lang w:val="pt-BR"/>
        </w:rPr>
        <w:t xml:space="preserve"> </w:t>
      </w:r>
      <w:r>
        <w:rPr>
          <w:rFonts w:eastAsia="Calibri"/>
          <w:sz w:val="20"/>
        </w:rPr>
        <w:t xml:space="preserve">Pildo subjektas, kuriam adresuota STT antikorupcinio vertinimo išvada. </w:t>
      </w:r>
    </w:p>
  </w:footnote>
  <w:footnote w:id="3">
    <w:p w14:paraId="3480E4C4" w14:textId="77777777" w:rsidR="00396320" w:rsidRDefault="009E2C6A">
      <w:pPr>
        <w:suppressAutoHyphens/>
        <w:rPr>
          <w:rFonts w:eastAsia="Calibri"/>
          <w:sz w:val="20"/>
        </w:rPr>
      </w:pPr>
      <w:r>
        <w:rPr>
          <w:rFonts w:eastAsia="Calibri"/>
          <w:sz w:val="20"/>
          <w:vertAlign w:val="superscript"/>
        </w:rPr>
        <w:footnoteRef/>
      </w:r>
      <w:r>
        <w:rPr>
          <w:rFonts w:eastAsia="Calibri"/>
          <w:sz w:val="20"/>
        </w:rPr>
        <w:t xml:space="preserve"> Pildo subjektas, kuriam adresuota STT antikorupcinio vertinimo išvada.</w:t>
      </w:r>
      <w:r>
        <w:rPr>
          <w:rFonts w:eastAsia="Calibri"/>
          <w:sz w:val="20"/>
          <w:highlight w:val="yellow"/>
        </w:rPr>
        <w:t xml:space="preserve"> </w:t>
      </w:r>
    </w:p>
  </w:footnote>
  <w:footnote w:id="4">
    <w:p w14:paraId="4FD50147" w14:textId="77777777" w:rsidR="00396320" w:rsidRDefault="009E2C6A">
      <w:pPr>
        <w:suppressAutoHyphens/>
        <w:rPr>
          <w:rFonts w:eastAsia="Calibri"/>
          <w:sz w:val="20"/>
        </w:rPr>
      </w:pPr>
      <w:r>
        <w:rPr>
          <w:rFonts w:eastAsia="Calibri"/>
          <w:sz w:val="20"/>
          <w:vertAlign w:val="superscript"/>
        </w:rPr>
        <w:footnoteRef/>
      </w:r>
      <w:r>
        <w:rPr>
          <w:rFonts w:eastAsia="Calibri"/>
          <w:sz w:val="20"/>
        </w:rPr>
        <w:t xml:space="preserve"> Pildo STT.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3A1A" w14:textId="3423DF4C" w:rsidR="00396320" w:rsidRDefault="009E2C6A">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991121">
      <w:rPr>
        <w:noProof/>
        <w:lang w:val="en-GB"/>
      </w:rPr>
      <w:t>1</w:t>
    </w:r>
    <w:r>
      <w:rPr>
        <w:lang w:val="en-GB"/>
      </w:rPr>
      <w:fldChar w:fldCharType="end"/>
    </w:r>
  </w:p>
  <w:p w14:paraId="23A9CC7E" w14:textId="77777777" w:rsidR="00396320" w:rsidRDefault="0039632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4B30" w14:textId="77777777" w:rsidR="00396320" w:rsidRDefault="009E2C6A">
    <w:pPr>
      <w:tabs>
        <w:tab w:val="center" w:pos="4819"/>
        <w:tab w:val="right" w:pos="9638"/>
      </w:tabs>
      <w:jc w:val="center"/>
    </w:pPr>
    <w:r>
      <w:fldChar w:fldCharType="begin"/>
    </w:r>
    <w:r>
      <w:instrText>PAGE   \* MERGEFORMAT</w:instrText>
    </w:r>
    <w:r>
      <w:fldChar w:fldCharType="separate"/>
    </w:r>
    <w:r w:rsidR="00280677">
      <w:rPr>
        <w:noProof/>
      </w:rPr>
      <w:t>2</w:t>
    </w:r>
    <w:r>
      <w:fldChar w:fldCharType="end"/>
    </w:r>
  </w:p>
  <w:p w14:paraId="4C164D0C" w14:textId="77777777" w:rsidR="00396320" w:rsidRDefault="00396320">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6C95" w14:textId="77777777" w:rsidR="00991121" w:rsidRDefault="00991121" w:rsidP="00991121">
    <w:pPr>
      <w:keepLines/>
      <w:widowControl w:val="0"/>
      <w:tabs>
        <w:tab w:val="left" w:pos="1304"/>
        <w:tab w:val="left" w:pos="1457"/>
        <w:tab w:val="left" w:pos="1604"/>
        <w:tab w:val="left" w:pos="1757"/>
      </w:tabs>
      <w:suppressAutoHyphens/>
      <w:ind w:left="4536"/>
      <w:textAlignment w:val="center"/>
    </w:pPr>
    <w:r>
      <w:rPr>
        <w:color w:val="000000"/>
        <w:szCs w:val="24"/>
        <w:lang w:eastAsia="lt-LT"/>
      </w:rPr>
      <w:t xml:space="preserve">Lietuvos Respublikos </w:t>
    </w:r>
    <w:r>
      <w:t>specialiųjų tyrimų</w:t>
    </w:r>
  </w:p>
  <w:p w14:paraId="469053CA" w14:textId="77777777" w:rsidR="00991121" w:rsidRDefault="00991121" w:rsidP="00991121">
    <w:pPr>
      <w:keepLines/>
      <w:widowControl w:val="0"/>
      <w:tabs>
        <w:tab w:val="left" w:pos="1304"/>
        <w:tab w:val="left" w:pos="1457"/>
        <w:tab w:val="left" w:pos="1604"/>
        <w:tab w:val="left" w:pos="1757"/>
      </w:tabs>
      <w:suppressAutoHyphens/>
      <w:ind w:left="4536"/>
      <w:textAlignment w:val="center"/>
    </w:pPr>
    <w:r>
      <w:t>tarnybos atliekamo teisės aktų ar jų projektų</w:t>
    </w:r>
  </w:p>
  <w:p w14:paraId="29EB470C" w14:textId="77777777" w:rsidR="00991121" w:rsidRDefault="00991121" w:rsidP="00991121">
    <w:pPr>
      <w:keepLines/>
      <w:widowControl w:val="0"/>
      <w:tabs>
        <w:tab w:val="left" w:pos="1304"/>
        <w:tab w:val="left" w:pos="1457"/>
        <w:tab w:val="left" w:pos="1604"/>
        <w:tab w:val="left" w:pos="1757"/>
      </w:tabs>
      <w:suppressAutoHyphens/>
      <w:ind w:left="4536"/>
      <w:textAlignment w:val="center"/>
    </w:pPr>
    <w:r>
      <w:t>antikorupcinio vertinimo tvarkos aprašo</w:t>
    </w:r>
  </w:p>
  <w:p w14:paraId="421168F5" w14:textId="77777777" w:rsidR="00991121" w:rsidRDefault="00991121" w:rsidP="00991121">
    <w:pPr>
      <w:keepLines/>
      <w:widowControl w:val="0"/>
      <w:tabs>
        <w:tab w:val="left" w:pos="1304"/>
        <w:tab w:val="left" w:pos="1457"/>
        <w:tab w:val="left" w:pos="1604"/>
        <w:tab w:val="left" w:pos="1757"/>
      </w:tabs>
      <w:suppressAutoHyphens/>
      <w:ind w:left="4536"/>
      <w:textAlignment w:val="center"/>
      <w:rPr>
        <w:color w:val="000000"/>
        <w:szCs w:val="24"/>
        <w:lang w:eastAsia="lt-LT"/>
      </w:rPr>
    </w:pPr>
    <w:r>
      <w:rPr>
        <w:color w:val="000000"/>
        <w:szCs w:val="24"/>
        <w:lang w:eastAsia="lt-LT"/>
      </w:rPr>
      <w:t>3 priedas</w:t>
    </w:r>
  </w:p>
  <w:p w14:paraId="2B3CBEE5" w14:textId="77777777" w:rsidR="00396320" w:rsidRPr="00991121" w:rsidRDefault="00396320">
    <w:pPr>
      <w:tabs>
        <w:tab w:val="center" w:pos="4819"/>
        <w:tab w:val="right" w:pos="9638"/>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AA"/>
    <w:rsid w:val="00020B65"/>
    <w:rsid w:val="000C4EC2"/>
    <w:rsid w:val="000E170E"/>
    <w:rsid w:val="00121F72"/>
    <w:rsid w:val="00257935"/>
    <w:rsid w:val="00280677"/>
    <w:rsid w:val="00306AAA"/>
    <w:rsid w:val="003364A3"/>
    <w:rsid w:val="00396320"/>
    <w:rsid w:val="003E6308"/>
    <w:rsid w:val="004250D9"/>
    <w:rsid w:val="0052341D"/>
    <w:rsid w:val="00541ECB"/>
    <w:rsid w:val="005A633E"/>
    <w:rsid w:val="006F2D5D"/>
    <w:rsid w:val="007B6DAF"/>
    <w:rsid w:val="00817D63"/>
    <w:rsid w:val="008559EF"/>
    <w:rsid w:val="00874271"/>
    <w:rsid w:val="008F423B"/>
    <w:rsid w:val="00991121"/>
    <w:rsid w:val="009E2C6A"/>
    <w:rsid w:val="00A16CEA"/>
    <w:rsid w:val="00A24857"/>
    <w:rsid w:val="00B4561D"/>
    <w:rsid w:val="00B45798"/>
    <w:rsid w:val="00BD7690"/>
    <w:rsid w:val="00C80FC1"/>
    <w:rsid w:val="00CC1812"/>
    <w:rsid w:val="00D06FC5"/>
    <w:rsid w:val="00D72384"/>
    <w:rsid w:val="00DD6464"/>
    <w:rsid w:val="00EB1698"/>
    <w:rsid w:val="00FE1FA2"/>
    <w:rsid w:val="00FE1FA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E4FC"/>
  <w15:docId w15:val="{0D62B7E0-3DC9-4637-80F2-8C316E3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E2C6A"/>
    <w:rPr>
      <w:color w:val="808080"/>
    </w:rPr>
  </w:style>
  <w:style w:type="paragraph" w:styleId="Sraopastraipa">
    <w:name w:val="List Paragraph"/>
    <w:basedOn w:val="prastasis"/>
    <w:rsid w:val="006F2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67629">
      <w:bodyDiv w:val="1"/>
      <w:marLeft w:val="0"/>
      <w:marRight w:val="0"/>
      <w:marTop w:val="0"/>
      <w:marBottom w:val="0"/>
      <w:divBdr>
        <w:top w:val="none" w:sz="0" w:space="0" w:color="auto"/>
        <w:left w:val="none" w:sz="0" w:space="0" w:color="auto"/>
        <w:bottom w:val="none" w:sz="0" w:space="0" w:color="auto"/>
        <w:right w:val="none" w:sz="0" w:space="0" w:color="auto"/>
      </w:divBdr>
    </w:div>
    <w:div w:id="362173357">
      <w:bodyDiv w:val="1"/>
      <w:marLeft w:val="0"/>
      <w:marRight w:val="0"/>
      <w:marTop w:val="0"/>
      <w:marBottom w:val="0"/>
      <w:divBdr>
        <w:top w:val="none" w:sz="0" w:space="0" w:color="auto"/>
        <w:left w:val="none" w:sz="0" w:space="0" w:color="auto"/>
        <w:bottom w:val="none" w:sz="0" w:space="0" w:color="auto"/>
        <w:right w:val="none" w:sz="0" w:space="0" w:color="auto"/>
      </w:divBdr>
      <w:divsChild>
        <w:div w:id="1239250178">
          <w:marLeft w:val="0"/>
          <w:marRight w:val="0"/>
          <w:marTop w:val="0"/>
          <w:marBottom w:val="0"/>
          <w:divBdr>
            <w:top w:val="none" w:sz="0" w:space="0" w:color="auto"/>
            <w:left w:val="none" w:sz="0" w:space="0" w:color="auto"/>
            <w:bottom w:val="none" w:sz="0" w:space="0" w:color="auto"/>
            <w:right w:val="none" w:sz="0" w:space="0" w:color="auto"/>
          </w:divBdr>
        </w:div>
        <w:div w:id="98109901">
          <w:marLeft w:val="0"/>
          <w:marRight w:val="0"/>
          <w:marTop w:val="0"/>
          <w:marBottom w:val="0"/>
          <w:divBdr>
            <w:top w:val="none" w:sz="0" w:space="0" w:color="auto"/>
            <w:left w:val="none" w:sz="0" w:space="0" w:color="auto"/>
            <w:bottom w:val="none" w:sz="0" w:space="0" w:color="auto"/>
            <w:right w:val="none" w:sz="0" w:space="0" w:color="auto"/>
          </w:divBdr>
        </w:div>
        <w:div w:id="2002191696">
          <w:marLeft w:val="0"/>
          <w:marRight w:val="0"/>
          <w:marTop w:val="0"/>
          <w:marBottom w:val="0"/>
          <w:divBdr>
            <w:top w:val="none" w:sz="0" w:space="0" w:color="auto"/>
            <w:left w:val="none" w:sz="0" w:space="0" w:color="auto"/>
            <w:bottom w:val="none" w:sz="0" w:space="0" w:color="auto"/>
            <w:right w:val="none" w:sz="0" w:space="0" w:color="auto"/>
          </w:divBdr>
        </w:div>
        <w:div w:id="1682313806">
          <w:marLeft w:val="0"/>
          <w:marRight w:val="0"/>
          <w:marTop w:val="0"/>
          <w:marBottom w:val="0"/>
          <w:divBdr>
            <w:top w:val="none" w:sz="0" w:space="0" w:color="auto"/>
            <w:left w:val="none" w:sz="0" w:space="0" w:color="auto"/>
            <w:bottom w:val="none" w:sz="0" w:space="0" w:color="auto"/>
            <w:right w:val="none" w:sz="0" w:space="0" w:color="auto"/>
          </w:divBdr>
        </w:div>
        <w:div w:id="1219708383">
          <w:marLeft w:val="0"/>
          <w:marRight w:val="0"/>
          <w:marTop w:val="0"/>
          <w:marBottom w:val="0"/>
          <w:divBdr>
            <w:top w:val="none" w:sz="0" w:space="0" w:color="auto"/>
            <w:left w:val="none" w:sz="0" w:space="0" w:color="auto"/>
            <w:bottom w:val="none" w:sz="0" w:space="0" w:color="auto"/>
            <w:right w:val="none" w:sz="0" w:space="0" w:color="auto"/>
          </w:divBdr>
        </w:div>
        <w:div w:id="705716918">
          <w:marLeft w:val="0"/>
          <w:marRight w:val="0"/>
          <w:marTop w:val="0"/>
          <w:marBottom w:val="0"/>
          <w:divBdr>
            <w:top w:val="none" w:sz="0" w:space="0" w:color="auto"/>
            <w:left w:val="none" w:sz="0" w:space="0" w:color="auto"/>
            <w:bottom w:val="none" w:sz="0" w:space="0" w:color="auto"/>
            <w:right w:val="none" w:sz="0" w:space="0" w:color="auto"/>
          </w:divBdr>
        </w:div>
      </w:divsChild>
    </w:div>
    <w:div w:id="456875114">
      <w:bodyDiv w:val="1"/>
      <w:marLeft w:val="0"/>
      <w:marRight w:val="0"/>
      <w:marTop w:val="0"/>
      <w:marBottom w:val="0"/>
      <w:divBdr>
        <w:top w:val="none" w:sz="0" w:space="0" w:color="auto"/>
        <w:left w:val="none" w:sz="0" w:space="0" w:color="auto"/>
        <w:bottom w:val="none" w:sz="0" w:space="0" w:color="auto"/>
        <w:right w:val="none" w:sz="0" w:space="0" w:color="auto"/>
      </w:divBdr>
      <w:divsChild>
        <w:div w:id="824779234">
          <w:marLeft w:val="0"/>
          <w:marRight w:val="0"/>
          <w:marTop w:val="0"/>
          <w:marBottom w:val="0"/>
          <w:divBdr>
            <w:top w:val="none" w:sz="0" w:space="0" w:color="auto"/>
            <w:left w:val="none" w:sz="0" w:space="0" w:color="auto"/>
            <w:bottom w:val="none" w:sz="0" w:space="0" w:color="auto"/>
            <w:right w:val="none" w:sz="0" w:space="0" w:color="auto"/>
          </w:divBdr>
        </w:div>
        <w:div w:id="1706783793">
          <w:marLeft w:val="0"/>
          <w:marRight w:val="0"/>
          <w:marTop w:val="0"/>
          <w:marBottom w:val="0"/>
          <w:divBdr>
            <w:top w:val="none" w:sz="0" w:space="0" w:color="auto"/>
            <w:left w:val="none" w:sz="0" w:space="0" w:color="auto"/>
            <w:bottom w:val="none" w:sz="0" w:space="0" w:color="auto"/>
            <w:right w:val="none" w:sz="0" w:space="0" w:color="auto"/>
          </w:divBdr>
        </w:div>
        <w:div w:id="485166768">
          <w:marLeft w:val="0"/>
          <w:marRight w:val="0"/>
          <w:marTop w:val="0"/>
          <w:marBottom w:val="0"/>
          <w:divBdr>
            <w:top w:val="none" w:sz="0" w:space="0" w:color="auto"/>
            <w:left w:val="none" w:sz="0" w:space="0" w:color="auto"/>
            <w:bottom w:val="none" w:sz="0" w:space="0" w:color="auto"/>
            <w:right w:val="none" w:sz="0" w:space="0" w:color="auto"/>
          </w:divBdr>
        </w:div>
        <w:div w:id="1892303113">
          <w:marLeft w:val="0"/>
          <w:marRight w:val="0"/>
          <w:marTop w:val="0"/>
          <w:marBottom w:val="0"/>
          <w:divBdr>
            <w:top w:val="none" w:sz="0" w:space="0" w:color="auto"/>
            <w:left w:val="none" w:sz="0" w:space="0" w:color="auto"/>
            <w:bottom w:val="none" w:sz="0" w:space="0" w:color="auto"/>
            <w:right w:val="none" w:sz="0" w:space="0" w:color="auto"/>
          </w:divBdr>
        </w:div>
        <w:div w:id="85076805">
          <w:marLeft w:val="0"/>
          <w:marRight w:val="0"/>
          <w:marTop w:val="0"/>
          <w:marBottom w:val="0"/>
          <w:divBdr>
            <w:top w:val="none" w:sz="0" w:space="0" w:color="auto"/>
            <w:left w:val="none" w:sz="0" w:space="0" w:color="auto"/>
            <w:bottom w:val="none" w:sz="0" w:space="0" w:color="auto"/>
            <w:right w:val="none" w:sz="0" w:space="0" w:color="auto"/>
          </w:divBdr>
        </w:div>
      </w:divsChild>
    </w:div>
    <w:div w:id="712582761">
      <w:bodyDiv w:val="1"/>
      <w:marLeft w:val="0"/>
      <w:marRight w:val="0"/>
      <w:marTop w:val="0"/>
      <w:marBottom w:val="0"/>
      <w:divBdr>
        <w:top w:val="none" w:sz="0" w:space="0" w:color="auto"/>
        <w:left w:val="none" w:sz="0" w:space="0" w:color="auto"/>
        <w:bottom w:val="none" w:sz="0" w:space="0" w:color="auto"/>
        <w:right w:val="none" w:sz="0" w:space="0" w:color="auto"/>
      </w:divBdr>
      <w:divsChild>
        <w:div w:id="1210605582">
          <w:marLeft w:val="0"/>
          <w:marRight w:val="0"/>
          <w:marTop w:val="0"/>
          <w:marBottom w:val="0"/>
          <w:divBdr>
            <w:top w:val="none" w:sz="0" w:space="0" w:color="auto"/>
            <w:left w:val="none" w:sz="0" w:space="0" w:color="auto"/>
            <w:bottom w:val="none" w:sz="0" w:space="0" w:color="auto"/>
            <w:right w:val="none" w:sz="0" w:space="0" w:color="auto"/>
          </w:divBdr>
        </w:div>
        <w:div w:id="947544197">
          <w:marLeft w:val="0"/>
          <w:marRight w:val="0"/>
          <w:marTop w:val="0"/>
          <w:marBottom w:val="0"/>
          <w:divBdr>
            <w:top w:val="none" w:sz="0" w:space="0" w:color="auto"/>
            <w:left w:val="none" w:sz="0" w:space="0" w:color="auto"/>
            <w:bottom w:val="none" w:sz="0" w:space="0" w:color="auto"/>
            <w:right w:val="none" w:sz="0" w:space="0" w:color="auto"/>
          </w:divBdr>
          <w:divsChild>
            <w:div w:id="1280456135">
              <w:marLeft w:val="0"/>
              <w:marRight w:val="0"/>
              <w:marTop w:val="0"/>
              <w:marBottom w:val="0"/>
              <w:divBdr>
                <w:top w:val="none" w:sz="0" w:space="0" w:color="auto"/>
                <w:left w:val="none" w:sz="0" w:space="0" w:color="auto"/>
                <w:bottom w:val="none" w:sz="0" w:space="0" w:color="auto"/>
                <w:right w:val="none" w:sz="0" w:space="0" w:color="auto"/>
              </w:divBdr>
              <w:divsChild>
                <w:div w:id="20055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6881">
          <w:marLeft w:val="0"/>
          <w:marRight w:val="0"/>
          <w:marTop w:val="0"/>
          <w:marBottom w:val="0"/>
          <w:divBdr>
            <w:top w:val="none" w:sz="0" w:space="0" w:color="auto"/>
            <w:left w:val="none" w:sz="0" w:space="0" w:color="auto"/>
            <w:bottom w:val="none" w:sz="0" w:space="0" w:color="auto"/>
            <w:right w:val="none" w:sz="0" w:space="0" w:color="auto"/>
          </w:divBdr>
          <w:divsChild>
            <w:div w:id="907494762">
              <w:marLeft w:val="0"/>
              <w:marRight w:val="0"/>
              <w:marTop w:val="0"/>
              <w:marBottom w:val="0"/>
              <w:divBdr>
                <w:top w:val="none" w:sz="0" w:space="0" w:color="auto"/>
                <w:left w:val="none" w:sz="0" w:space="0" w:color="auto"/>
                <w:bottom w:val="none" w:sz="0" w:space="0" w:color="auto"/>
                <w:right w:val="none" w:sz="0" w:space="0" w:color="auto"/>
              </w:divBdr>
              <w:divsChild>
                <w:div w:id="166134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6113">
          <w:marLeft w:val="0"/>
          <w:marRight w:val="0"/>
          <w:marTop w:val="0"/>
          <w:marBottom w:val="0"/>
          <w:divBdr>
            <w:top w:val="none" w:sz="0" w:space="0" w:color="auto"/>
            <w:left w:val="none" w:sz="0" w:space="0" w:color="auto"/>
            <w:bottom w:val="none" w:sz="0" w:space="0" w:color="auto"/>
            <w:right w:val="none" w:sz="0" w:space="0" w:color="auto"/>
          </w:divBdr>
          <w:divsChild>
            <w:div w:id="239366614">
              <w:marLeft w:val="0"/>
              <w:marRight w:val="0"/>
              <w:marTop w:val="0"/>
              <w:marBottom w:val="0"/>
              <w:divBdr>
                <w:top w:val="none" w:sz="0" w:space="0" w:color="auto"/>
                <w:left w:val="none" w:sz="0" w:space="0" w:color="auto"/>
                <w:bottom w:val="none" w:sz="0" w:space="0" w:color="auto"/>
                <w:right w:val="none" w:sz="0" w:space="0" w:color="auto"/>
              </w:divBdr>
              <w:divsChild>
                <w:div w:id="1589773446">
                  <w:marLeft w:val="0"/>
                  <w:marRight w:val="0"/>
                  <w:marTop w:val="0"/>
                  <w:marBottom w:val="0"/>
                  <w:divBdr>
                    <w:top w:val="none" w:sz="0" w:space="0" w:color="auto"/>
                    <w:left w:val="none" w:sz="0" w:space="0" w:color="auto"/>
                    <w:bottom w:val="none" w:sz="0" w:space="0" w:color="auto"/>
                    <w:right w:val="none" w:sz="0" w:space="0" w:color="auto"/>
                  </w:divBdr>
                  <w:divsChild>
                    <w:div w:id="6790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60652">
      <w:bodyDiv w:val="1"/>
      <w:marLeft w:val="0"/>
      <w:marRight w:val="0"/>
      <w:marTop w:val="0"/>
      <w:marBottom w:val="0"/>
      <w:divBdr>
        <w:top w:val="none" w:sz="0" w:space="0" w:color="auto"/>
        <w:left w:val="none" w:sz="0" w:space="0" w:color="auto"/>
        <w:bottom w:val="none" w:sz="0" w:space="0" w:color="auto"/>
        <w:right w:val="none" w:sz="0" w:space="0" w:color="auto"/>
      </w:divBdr>
    </w:div>
    <w:div w:id="1226600181">
      <w:bodyDiv w:val="1"/>
      <w:marLeft w:val="0"/>
      <w:marRight w:val="0"/>
      <w:marTop w:val="0"/>
      <w:marBottom w:val="0"/>
      <w:divBdr>
        <w:top w:val="none" w:sz="0" w:space="0" w:color="auto"/>
        <w:left w:val="none" w:sz="0" w:space="0" w:color="auto"/>
        <w:bottom w:val="none" w:sz="0" w:space="0" w:color="auto"/>
        <w:right w:val="none" w:sz="0" w:space="0" w:color="auto"/>
      </w:divBdr>
      <w:divsChild>
        <w:div w:id="614019437">
          <w:marLeft w:val="0"/>
          <w:marRight w:val="0"/>
          <w:marTop w:val="0"/>
          <w:marBottom w:val="0"/>
          <w:divBdr>
            <w:top w:val="none" w:sz="0" w:space="0" w:color="auto"/>
            <w:left w:val="none" w:sz="0" w:space="0" w:color="auto"/>
            <w:bottom w:val="none" w:sz="0" w:space="0" w:color="auto"/>
            <w:right w:val="none" w:sz="0" w:space="0" w:color="auto"/>
          </w:divBdr>
        </w:div>
        <w:div w:id="1117874373">
          <w:marLeft w:val="0"/>
          <w:marRight w:val="0"/>
          <w:marTop w:val="0"/>
          <w:marBottom w:val="0"/>
          <w:divBdr>
            <w:top w:val="none" w:sz="0" w:space="0" w:color="auto"/>
            <w:left w:val="none" w:sz="0" w:space="0" w:color="auto"/>
            <w:bottom w:val="none" w:sz="0" w:space="0" w:color="auto"/>
            <w:right w:val="none" w:sz="0" w:space="0" w:color="auto"/>
          </w:divBdr>
        </w:div>
        <w:div w:id="2061708533">
          <w:marLeft w:val="0"/>
          <w:marRight w:val="0"/>
          <w:marTop w:val="0"/>
          <w:marBottom w:val="0"/>
          <w:divBdr>
            <w:top w:val="none" w:sz="0" w:space="0" w:color="auto"/>
            <w:left w:val="none" w:sz="0" w:space="0" w:color="auto"/>
            <w:bottom w:val="none" w:sz="0" w:space="0" w:color="auto"/>
            <w:right w:val="none" w:sz="0" w:space="0" w:color="auto"/>
          </w:divBdr>
        </w:div>
        <w:div w:id="1363239520">
          <w:marLeft w:val="0"/>
          <w:marRight w:val="0"/>
          <w:marTop w:val="0"/>
          <w:marBottom w:val="0"/>
          <w:divBdr>
            <w:top w:val="none" w:sz="0" w:space="0" w:color="auto"/>
            <w:left w:val="none" w:sz="0" w:space="0" w:color="auto"/>
            <w:bottom w:val="none" w:sz="0" w:space="0" w:color="auto"/>
            <w:right w:val="none" w:sz="0" w:space="0" w:color="auto"/>
          </w:divBdr>
        </w:div>
        <w:div w:id="389154221">
          <w:marLeft w:val="0"/>
          <w:marRight w:val="0"/>
          <w:marTop w:val="0"/>
          <w:marBottom w:val="0"/>
          <w:divBdr>
            <w:top w:val="none" w:sz="0" w:space="0" w:color="auto"/>
            <w:left w:val="none" w:sz="0" w:space="0" w:color="auto"/>
            <w:bottom w:val="none" w:sz="0" w:space="0" w:color="auto"/>
            <w:right w:val="none" w:sz="0" w:space="0" w:color="auto"/>
          </w:divBdr>
        </w:div>
      </w:divsChild>
    </w:div>
    <w:div w:id="1807552250">
      <w:bodyDiv w:val="1"/>
      <w:marLeft w:val="0"/>
      <w:marRight w:val="0"/>
      <w:marTop w:val="0"/>
      <w:marBottom w:val="0"/>
      <w:divBdr>
        <w:top w:val="none" w:sz="0" w:space="0" w:color="auto"/>
        <w:left w:val="none" w:sz="0" w:space="0" w:color="auto"/>
        <w:bottom w:val="none" w:sz="0" w:space="0" w:color="auto"/>
        <w:right w:val="none" w:sz="0" w:space="0" w:color="auto"/>
      </w:divBdr>
      <w:divsChild>
        <w:div w:id="1967730973">
          <w:marLeft w:val="0"/>
          <w:marRight w:val="0"/>
          <w:marTop w:val="0"/>
          <w:marBottom w:val="0"/>
          <w:divBdr>
            <w:top w:val="none" w:sz="0" w:space="0" w:color="auto"/>
            <w:left w:val="none" w:sz="0" w:space="0" w:color="auto"/>
            <w:bottom w:val="none" w:sz="0" w:space="0" w:color="auto"/>
            <w:right w:val="none" w:sz="0" w:space="0" w:color="auto"/>
          </w:divBdr>
        </w:div>
        <w:div w:id="772827891">
          <w:marLeft w:val="0"/>
          <w:marRight w:val="0"/>
          <w:marTop w:val="0"/>
          <w:marBottom w:val="0"/>
          <w:divBdr>
            <w:top w:val="none" w:sz="0" w:space="0" w:color="auto"/>
            <w:left w:val="none" w:sz="0" w:space="0" w:color="auto"/>
            <w:bottom w:val="none" w:sz="0" w:space="0" w:color="auto"/>
            <w:right w:val="none" w:sz="0" w:space="0" w:color="auto"/>
          </w:divBdr>
          <w:divsChild>
            <w:div w:id="2126734417">
              <w:marLeft w:val="0"/>
              <w:marRight w:val="0"/>
              <w:marTop w:val="0"/>
              <w:marBottom w:val="0"/>
              <w:divBdr>
                <w:top w:val="none" w:sz="0" w:space="0" w:color="auto"/>
                <w:left w:val="none" w:sz="0" w:space="0" w:color="auto"/>
                <w:bottom w:val="none" w:sz="0" w:space="0" w:color="auto"/>
                <w:right w:val="none" w:sz="0" w:space="0" w:color="auto"/>
              </w:divBdr>
              <w:divsChild>
                <w:div w:id="7215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10155">
          <w:marLeft w:val="0"/>
          <w:marRight w:val="0"/>
          <w:marTop w:val="0"/>
          <w:marBottom w:val="0"/>
          <w:divBdr>
            <w:top w:val="none" w:sz="0" w:space="0" w:color="auto"/>
            <w:left w:val="none" w:sz="0" w:space="0" w:color="auto"/>
            <w:bottom w:val="none" w:sz="0" w:space="0" w:color="auto"/>
            <w:right w:val="none" w:sz="0" w:space="0" w:color="auto"/>
          </w:divBdr>
          <w:divsChild>
            <w:div w:id="612135754">
              <w:marLeft w:val="0"/>
              <w:marRight w:val="0"/>
              <w:marTop w:val="0"/>
              <w:marBottom w:val="0"/>
              <w:divBdr>
                <w:top w:val="none" w:sz="0" w:space="0" w:color="auto"/>
                <w:left w:val="none" w:sz="0" w:space="0" w:color="auto"/>
                <w:bottom w:val="none" w:sz="0" w:space="0" w:color="auto"/>
                <w:right w:val="none" w:sz="0" w:space="0" w:color="auto"/>
              </w:divBdr>
              <w:divsChild>
                <w:div w:id="6316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0981">
          <w:marLeft w:val="0"/>
          <w:marRight w:val="0"/>
          <w:marTop w:val="0"/>
          <w:marBottom w:val="0"/>
          <w:divBdr>
            <w:top w:val="none" w:sz="0" w:space="0" w:color="auto"/>
            <w:left w:val="none" w:sz="0" w:space="0" w:color="auto"/>
            <w:bottom w:val="none" w:sz="0" w:space="0" w:color="auto"/>
            <w:right w:val="none" w:sz="0" w:space="0" w:color="auto"/>
          </w:divBdr>
          <w:divsChild>
            <w:div w:id="720010854">
              <w:marLeft w:val="0"/>
              <w:marRight w:val="0"/>
              <w:marTop w:val="0"/>
              <w:marBottom w:val="0"/>
              <w:divBdr>
                <w:top w:val="none" w:sz="0" w:space="0" w:color="auto"/>
                <w:left w:val="none" w:sz="0" w:space="0" w:color="auto"/>
                <w:bottom w:val="none" w:sz="0" w:space="0" w:color="auto"/>
                <w:right w:val="none" w:sz="0" w:space="0" w:color="auto"/>
              </w:divBdr>
              <w:divsChild>
                <w:div w:id="109982117">
                  <w:marLeft w:val="0"/>
                  <w:marRight w:val="0"/>
                  <w:marTop w:val="0"/>
                  <w:marBottom w:val="0"/>
                  <w:divBdr>
                    <w:top w:val="none" w:sz="0" w:space="0" w:color="auto"/>
                    <w:left w:val="none" w:sz="0" w:space="0" w:color="auto"/>
                    <w:bottom w:val="none" w:sz="0" w:space="0" w:color="auto"/>
                    <w:right w:val="none" w:sz="0" w:space="0" w:color="auto"/>
                  </w:divBdr>
                  <w:divsChild>
                    <w:div w:id="19573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5939-D7A7-4486-A628-4498F92C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2470</Words>
  <Characters>1409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SPECIALIŲJŲ TYRIMŲ TARNYBOS DIREKTORIAUS</vt:lpstr>
      <vt:lpstr>LIETUVOS RESPUBLIKOS SPECIALIŲJŲ TYRIMŲ TARNYBOS DIREKTORIAUS</vt:lpstr>
    </vt:vector>
  </TitlesOfParts>
  <Company>Teisines informacijos centras</Company>
  <LinksUpToDate>false</LinksUpToDate>
  <CharactersWithSpaces>3872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TARNYBOS DIREKTORIAUS</dc:title>
  <dc:creator>STT</dc:creator>
  <cp:lastModifiedBy>Edward Zakrzewski</cp:lastModifiedBy>
  <cp:revision>11</cp:revision>
  <dcterms:created xsi:type="dcterms:W3CDTF">2025-06-09T07:29:00Z</dcterms:created>
  <dcterms:modified xsi:type="dcterms:W3CDTF">2025-06-09T08:07:00Z</dcterms:modified>
</cp:coreProperties>
</file>