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4FAB9" w14:textId="77777777" w:rsidR="00B61EF2" w:rsidRDefault="00B61EF2">
      <w:pPr>
        <w:keepNext/>
        <w:jc w:val="center"/>
        <w:rPr>
          <w:rFonts w:ascii="TimesLT" w:hAnsi="TimesLT"/>
          <w:sz w:val="28"/>
          <w:szCs w:val="24"/>
        </w:rPr>
      </w:pPr>
    </w:p>
    <w:p w14:paraId="749366C4" w14:textId="77777777" w:rsidR="00B61EF2" w:rsidRDefault="000730C1" w:rsidP="00302350">
      <w:pPr>
        <w:keepNext/>
        <w:jc w:val="center"/>
        <w:rPr>
          <w:sz w:val="28"/>
        </w:rPr>
      </w:pPr>
      <w:r>
        <w:rPr>
          <w:rFonts w:ascii="TimesLT" w:hAnsi="TimesLT"/>
          <w:sz w:val="28"/>
          <w:szCs w:val="24"/>
        </w:rPr>
        <w:object w:dxaOrig="696" w:dyaOrig="801" w14:anchorId="096A4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75pt" o:ole="" fillcolor="window">
            <v:imagedata r:id="rId7" o:title=""/>
          </v:shape>
          <o:OLEObject Type="Embed" ProgID="CorelPhotoPaint.Image.9" ShapeID="_x0000_i1025" DrawAspect="Content" ObjectID="_1785486248" r:id="rId8"/>
        </w:object>
      </w:r>
    </w:p>
    <w:p w14:paraId="55DA6C0E" w14:textId="77777777" w:rsidR="00B61EF2" w:rsidRDefault="000730C1">
      <w:pPr>
        <w:jc w:val="center"/>
        <w:rPr>
          <w:b/>
          <w:sz w:val="28"/>
        </w:rPr>
      </w:pPr>
      <w:r>
        <w:rPr>
          <w:b/>
          <w:sz w:val="28"/>
        </w:rPr>
        <w:t xml:space="preserve">VILNIAUS RAJONO SAVIVALDYBĖS TARYBA </w:t>
      </w:r>
    </w:p>
    <w:p w14:paraId="377042DB" w14:textId="77777777" w:rsidR="00B61EF2" w:rsidRDefault="00B61EF2">
      <w:pPr>
        <w:jc w:val="center"/>
        <w:rPr>
          <w:szCs w:val="24"/>
        </w:rPr>
      </w:pPr>
    </w:p>
    <w:p w14:paraId="68C1A95E" w14:textId="77777777" w:rsidR="00B61EF2" w:rsidRDefault="000730C1">
      <w:pPr>
        <w:jc w:val="center"/>
        <w:rPr>
          <w:b/>
          <w:szCs w:val="24"/>
        </w:rPr>
      </w:pPr>
      <w:r>
        <w:rPr>
          <w:b/>
          <w:szCs w:val="24"/>
        </w:rPr>
        <w:t>SPRENDIMAS</w:t>
      </w:r>
    </w:p>
    <w:p w14:paraId="688B64DF" w14:textId="77777777" w:rsidR="00B61EF2" w:rsidRDefault="000730C1">
      <w:pPr>
        <w:jc w:val="center"/>
        <w:rPr>
          <w:szCs w:val="24"/>
        </w:rPr>
      </w:pPr>
      <w:r>
        <w:rPr>
          <w:b/>
          <w:szCs w:val="24"/>
        </w:rPr>
        <w:t xml:space="preserve">DĖL VILNIAUS RAJONO SAVIVALDYBĖS ADMINISTRACIJOS LĖŠŲ NAUDOJIMO TVARKOS APRAŠŲ PATVIRTINIMO </w:t>
      </w:r>
    </w:p>
    <w:p w14:paraId="46A9A42A" w14:textId="77777777" w:rsidR="00B61EF2" w:rsidRDefault="00B61EF2">
      <w:pPr>
        <w:jc w:val="center"/>
        <w:rPr>
          <w:szCs w:val="24"/>
        </w:rPr>
      </w:pPr>
    </w:p>
    <w:p w14:paraId="750BC156" w14:textId="77777777" w:rsidR="00B61EF2" w:rsidRDefault="000730C1">
      <w:pPr>
        <w:jc w:val="center"/>
        <w:rPr>
          <w:szCs w:val="24"/>
        </w:rPr>
      </w:pPr>
      <w:r>
        <w:rPr>
          <w:szCs w:val="24"/>
        </w:rPr>
        <w:t>2022 m. birželio 30 d. Nr. T3-176</w:t>
      </w:r>
    </w:p>
    <w:p w14:paraId="5F04F787" w14:textId="77777777" w:rsidR="00B61EF2" w:rsidRDefault="000730C1">
      <w:pPr>
        <w:jc w:val="center"/>
        <w:rPr>
          <w:szCs w:val="24"/>
        </w:rPr>
      </w:pPr>
      <w:r>
        <w:rPr>
          <w:szCs w:val="24"/>
        </w:rPr>
        <w:t>Vilnius</w:t>
      </w:r>
    </w:p>
    <w:p w14:paraId="5C98D679" w14:textId="77777777" w:rsidR="00B61EF2" w:rsidRDefault="00B61EF2">
      <w:pPr>
        <w:jc w:val="center"/>
        <w:rPr>
          <w:szCs w:val="24"/>
        </w:rPr>
      </w:pPr>
    </w:p>
    <w:p w14:paraId="6E68D764" w14:textId="77777777" w:rsidR="00302350" w:rsidRDefault="00302350">
      <w:pPr>
        <w:jc w:val="center"/>
        <w:rPr>
          <w:szCs w:val="24"/>
        </w:rPr>
      </w:pPr>
    </w:p>
    <w:p w14:paraId="471C05B3" w14:textId="77777777" w:rsidR="00B61EF2" w:rsidRDefault="000730C1">
      <w:pPr>
        <w:shd w:val="clear" w:color="auto" w:fill="FFFFFF"/>
        <w:tabs>
          <w:tab w:val="left" w:pos="979"/>
        </w:tabs>
        <w:ind w:firstLine="709"/>
        <w:jc w:val="both"/>
        <w:rPr>
          <w:szCs w:val="24"/>
        </w:rPr>
      </w:pPr>
      <w:r>
        <w:rPr>
          <w:szCs w:val="24"/>
        </w:rPr>
        <w:t>Vadovaudamasi Lietuvos Respublikos vietos savivaldos įstatymo 16 straipsnio 4 dalimi, 18 straipsnio 1 dalimi, Vilniaus rajono savivaldybės taryba n u s p r e n d ž i a:</w:t>
      </w:r>
    </w:p>
    <w:p w14:paraId="19136CEF" w14:textId="77777777" w:rsidR="00B61EF2" w:rsidRDefault="000730C1">
      <w:pPr>
        <w:shd w:val="clear" w:color="auto" w:fill="FFFFFF"/>
        <w:tabs>
          <w:tab w:val="left" w:pos="979"/>
        </w:tabs>
        <w:ind w:left="1069" w:hanging="360"/>
        <w:jc w:val="both"/>
        <w:rPr>
          <w:szCs w:val="24"/>
        </w:rPr>
      </w:pPr>
      <w:r>
        <w:rPr>
          <w:szCs w:val="24"/>
        </w:rPr>
        <w:t>1.</w:t>
      </w:r>
      <w:r>
        <w:rPr>
          <w:szCs w:val="24"/>
        </w:rPr>
        <w:tab/>
        <w:t>Patvirtinti Vilniaus rajono savivaldybės administracijos lėšų naudojimo tvarkos aprašus:</w:t>
      </w:r>
    </w:p>
    <w:p w14:paraId="1946DC8D" w14:textId="77777777" w:rsidR="00B61EF2" w:rsidRDefault="000730C1">
      <w:pPr>
        <w:ind w:firstLine="744"/>
        <w:jc w:val="both"/>
        <w:rPr>
          <w:rFonts w:eastAsia="Calibri"/>
          <w:szCs w:val="24"/>
        </w:rPr>
      </w:pPr>
      <w:r>
        <w:rPr>
          <w:szCs w:val="24"/>
        </w:rPr>
        <w:t xml:space="preserve">1.1. </w:t>
      </w:r>
      <w:r>
        <w:rPr>
          <w:rFonts w:eastAsia="Calibri"/>
          <w:szCs w:val="24"/>
        </w:rPr>
        <w:t>Vilniaus rajono savivaldybės biudžeto lėšų, skirtų miestų ir gyvenviečių tvarkymui finansuoti, naudojimo tvarkos aprašą (1 priedas);</w:t>
      </w:r>
    </w:p>
    <w:p w14:paraId="4E87CAE3" w14:textId="77777777" w:rsidR="00B61EF2" w:rsidRDefault="000730C1">
      <w:pPr>
        <w:ind w:firstLine="744"/>
        <w:jc w:val="both"/>
        <w:rPr>
          <w:rFonts w:eastAsia="Calibri"/>
          <w:b/>
          <w:szCs w:val="24"/>
        </w:rPr>
      </w:pPr>
      <w:r>
        <w:rPr>
          <w:szCs w:val="24"/>
        </w:rPr>
        <w:t>1.2.</w:t>
      </w:r>
      <w:r>
        <w:rPr>
          <w:rFonts w:eastAsia="Calibri"/>
          <w:b/>
          <w:szCs w:val="24"/>
        </w:rPr>
        <w:t xml:space="preserve"> </w:t>
      </w:r>
      <w:r>
        <w:rPr>
          <w:rFonts w:eastAsia="Calibri"/>
          <w:szCs w:val="24"/>
        </w:rPr>
        <w:t>Vilniaus rajono savivaldybės biudžeto lėšų, skirtų religinėms bendruomenėms finansuoti, naudojimo tvarkos aprašą (2 priedas);</w:t>
      </w:r>
    </w:p>
    <w:p w14:paraId="4A7F531C" w14:textId="77777777" w:rsidR="00B61EF2" w:rsidRDefault="000730C1">
      <w:pPr>
        <w:ind w:firstLine="744"/>
        <w:jc w:val="both"/>
        <w:rPr>
          <w:rFonts w:eastAsia="Calibri"/>
          <w:b/>
          <w:szCs w:val="24"/>
        </w:rPr>
      </w:pPr>
      <w:r>
        <w:rPr>
          <w:szCs w:val="24"/>
        </w:rPr>
        <w:t>1.3.</w:t>
      </w:r>
      <w:r>
        <w:rPr>
          <w:rFonts w:eastAsia="Calibri"/>
          <w:b/>
          <w:szCs w:val="24"/>
        </w:rPr>
        <w:t xml:space="preserve"> </w:t>
      </w:r>
      <w:r>
        <w:rPr>
          <w:rFonts w:eastAsia="Calibri"/>
          <w:szCs w:val="24"/>
        </w:rPr>
        <w:t>Vilniaus rajono savivaldybės biudžeto lėšų, skirtų socialinei apsaugai, kultūrai ir sportui finansuoti, naudojimo tvarkos aprašą (3 priedas);</w:t>
      </w:r>
    </w:p>
    <w:p w14:paraId="11A4418D" w14:textId="77777777" w:rsidR="00B61EF2" w:rsidRDefault="000730C1">
      <w:pPr>
        <w:ind w:firstLine="744"/>
        <w:jc w:val="both"/>
        <w:rPr>
          <w:rFonts w:eastAsia="Calibri"/>
          <w:szCs w:val="24"/>
        </w:rPr>
      </w:pPr>
      <w:r>
        <w:rPr>
          <w:szCs w:val="24"/>
        </w:rPr>
        <w:t xml:space="preserve">1.4. </w:t>
      </w:r>
      <w:r>
        <w:rPr>
          <w:rFonts w:eastAsia="Calibri"/>
          <w:szCs w:val="24"/>
        </w:rPr>
        <w:t>Vilniaus rajono savivaldybės biudžeto lėšų, skirtų žemės ūkiui finansuoti, naudojimo tvarkos aprašą (4 priedas);</w:t>
      </w:r>
    </w:p>
    <w:p w14:paraId="657372AC" w14:textId="77777777" w:rsidR="00B61EF2" w:rsidRDefault="000730C1">
      <w:pPr>
        <w:ind w:firstLine="744"/>
        <w:jc w:val="both"/>
        <w:rPr>
          <w:rFonts w:eastAsia="Calibri"/>
          <w:b/>
          <w:szCs w:val="24"/>
        </w:rPr>
      </w:pPr>
      <w:r>
        <w:rPr>
          <w:rFonts w:eastAsia="Calibri"/>
          <w:szCs w:val="24"/>
        </w:rPr>
        <w:t>1.5. Vilniaus rajono savivaldybės biudžeto lėšų, skirtų Vilniaus rajono savivaldybės mokyklų bendruomenėms skatinti bei mokinių poilsiui organizuoti, naudojimo tvarkos aprašą (5 priedas).</w:t>
      </w:r>
    </w:p>
    <w:p w14:paraId="19031005" w14:textId="77777777" w:rsidR="00B61EF2" w:rsidRDefault="000730C1">
      <w:pPr>
        <w:ind w:firstLine="744"/>
        <w:jc w:val="both"/>
        <w:rPr>
          <w:szCs w:val="24"/>
        </w:rPr>
      </w:pPr>
      <w:r>
        <w:rPr>
          <w:szCs w:val="24"/>
        </w:rPr>
        <w:t xml:space="preserve">2. 1 punkte nurodytiems tikslams pasiekti įpareigoti Vilniaus rajono savivaldybės administracijos direktorių sudaryti darbo grupę (komisiją) ir patvirtinti jos darbo reglamentą.   </w:t>
      </w:r>
    </w:p>
    <w:p w14:paraId="258A59FF" w14:textId="77777777" w:rsidR="00B61EF2" w:rsidRDefault="000730C1">
      <w:pPr>
        <w:shd w:val="clear" w:color="auto" w:fill="FFFFFF"/>
        <w:tabs>
          <w:tab w:val="left" w:pos="979"/>
        </w:tabs>
        <w:ind w:firstLine="709"/>
        <w:jc w:val="both"/>
        <w:rPr>
          <w:szCs w:val="24"/>
        </w:rPr>
      </w:pPr>
      <w:r>
        <w:rPr>
          <w:szCs w:val="24"/>
        </w:rPr>
        <w:t>3. Laikyti netekusiu galios Vilniaus rajono savivaldybės tarybos 2006 m. balandžio 28 d. sprendimą Nr. T3-86 „Dėl Vilniaus rajono savivaldybės rėmimo fondų nuostatų patvirtinimo“.</w:t>
      </w:r>
    </w:p>
    <w:p w14:paraId="47AB5EBB" w14:textId="77777777" w:rsidR="00B61EF2" w:rsidRDefault="000730C1" w:rsidP="00302350">
      <w:pPr>
        <w:ind w:firstLine="744"/>
        <w:jc w:val="both"/>
        <w:rPr>
          <w:szCs w:val="24"/>
        </w:rPr>
      </w:pPr>
      <w:r>
        <w:rPr>
          <w:szCs w:val="24"/>
        </w:rPr>
        <w:t>4. Šį sprendimą teisės aktų nustatyta tvarka paskelbti Teisės aktų registre ir Savivaldybės tinklalapyje.</w:t>
      </w:r>
    </w:p>
    <w:p w14:paraId="145E16A2" w14:textId="77777777" w:rsidR="00302350" w:rsidRDefault="00302350"/>
    <w:p w14:paraId="78971180" w14:textId="77777777" w:rsidR="00302350" w:rsidRDefault="00302350"/>
    <w:p w14:paraId="568754BC" w14:textId="77777777" w:rsidR="00302350" w:rsidRDefault="00302350"/>
    <w:p w14:paraId="20CA863E" w14:textId="77777777" w:rsidR="00B61EF2" w:rsidRDefault="000730C1">
      <w:pPr>
        <w:rPr>
          <w:szCs w:val="24"/>
        </w:rPr>
      </w:pPr>
      <w:r>
        <w:rPr>
          <w:szCs w:val="24"/>
        </w:rPr>
        <w:t xml:space="preserve">Savivaldybės merė </w:t>
      </w:r>
      <w:r w:rsidR="00302350">
        <w:rPr>
          <w:szCs w:val="24"/>
        </w:rPr>
        <w:tab/>
      </w:r>
      <w:r w:rsidR="00302350">
        <w:rPr>
          <w:szCs w:val="24"/>
        </w:rPr>
        <w:tab/>
      </w:r>
      <w:r w:rsidR="00302350">
        <w:rPr>
          <w:szCs w:val="24"/>
        </w:rPr>
        <w:tab/>
      </w:r>
      <w:r w:rsidR="00302350">
        <w:rPr>
          <w:szCs w:val="24"/>
        </w:rPr>
        <w:tab/>
      </w:r>
      <w:r w:rsidR="00302350">
        <w:rPr>
          <w:szCs w:val="24"/>
        </w:rPr>
        <w:tab/>
      </w:r>
      <w:r>
        <w:rPr>
          <w:szCs w:val="24"/>
        </w:rPr>
        <w:t xml:space="preserve"> Marija </w:t>
      </w:r>
      <w:proofErr w:type="spellStart"/>
      <w:r>
        <w:rPr>
          <w:szCs w:val="24"/>
        </w:rPr>
        <w:t>Rekst</w:t>
      </w:r>
      <w:proofErr w:type="spellEnd"/>
    </w:p>
    <w:p w14:paraId="148CB91D" w14:textId="77777777" w:rsidR="00B61EF2" w:rsidRDefault="00B61EF2">
      <w:pPr>
        <w:ind w:firstLine="4354"/>
        <w:rPr>
          <w:szCs w:val="24"/>
        </w:rPr>
      </w:pPr>
    </w:p>
    <w:p w14:paraId="75A65709" w14:textId="77777777" w:rsidR="000730C1" w:rsidRDefault="000730C1">
      <w:pPr>
        <w:ind w:firstLine="3810"/>
        <w:jc w:val="both"/>
        <w:sectPr w:rsidR="000730C1" w:rsidSect="000730C1">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851" w:left="1701" w:header="709" w:footer="709" w:gutter="0"/>
          <w:cols w:space="1296"/>
          <w:titlePg/>
          <w:docGrid w:linePitch="360"/>
        </w:sectPr>
      </w:pPr>
    </w:p>
    <w:p w14:paraId="3055D2AB" w14:textId="77777777" w:rsidR="00B61EF2" w:rsidRDefault="000730C1" w:rsidP="000730C1">
      <w:pPr>
        <w:ind w:left="5184"/>
        <w:jc w:val="both"/>
        <w:rPr>
          <w:szCs w:val="24"/>
        </w:rPr>
      </w:pPr>
      <w:r>
        <w:rPr>
          <w:szCs w:val="24"/>
        </w:rPr>
        <w:lastRenderedPageBreak/>
        <w:t>PATVIRTINTA</w:t>
      </w:r>
    </w:p>
    <w:p w14:paraId="677FB772" w14:textId="77777777" w:rsidR="00B61EF2" w:rsidRDefault="000730C1" w:rsidP="000730C1">
      <w:pPr>
        <w:ind w:left="5184"/>
        <w:jc w:val="both"/>
        <w:rPr>
          <w:szCs w:val="24"/>
        </w:rPr>
      </w:pPr>
      <w:r>
        <w:rPr>
          <w:szCs w:val="24"/>
        </w:rPr>
        <w:t>Vilniaus rajono savivaldybės tarybos</w:t>
      </w:r>
    </w:p>
    <w:p w14:paraId="29AD7BA3" w14:textId="77777777" w:rsidR="00B61EF2" w:rsidRDefault="000730C1" w:rsidP="000730C1">
      <w:pPr>
        <w:ind w:left="5184"/>
        <w:jc w:val="both"/>
        <w:rPr>
          <w:szCs w:val="24"/>
        </w:rPr>
      </w:pPr>
      <w:r>
        <w:rPr>
          <w:szCs w:val="24"/>
        </w:rPr>
        <w:t>2022 m. birželio 30 d.</w:t>
      </w:r>
    </w:p>
    <w:p w14:paraId="7F6CF347" w14:textId="77777777" w:rsidR="00B61EF2" w:rsidRDefault="000730C1" w:rsidP="000730C1">
      <w:pPr>
        <w:ind w:left="5184"/>
        <w:jc w:val="both"/>
        <w:rPr>
          <w:szCs w:val="24"/>
        </w:rPr>
      </w:pPr>
      <w:r>
        <w:rPr>
          <w:szCs w:val="24"/>
        </w:rPr>
        <w:t>sprendimo Nr. T3-176</w:t>
      </w:r>
    </w:p>
    <w:p w14:paraId="11BDED8C" w14:textId="77777777" w:rsidR="00B61EF2" w:rsidRDefault="000730C1" w:rsidP="000730C1">
      <w:pPr>
        <w:ind w:left="5184"/>
        <w:jc w:val="both"/>
        <w:rPr>
          <w:szCs w:val="24"/>
        </w:rPr>
      </w:pPr>
      <w:r>
        <w:rPr>
          <w:szCs w:val="24"/>
        </w:rPr>
        <w:t>5 priedas</w:t>
      </w:r>
    </w:p>
    <w:p w14:paraId="3E4EC5FD" w14:textId="77777777" w:rsidR="00B61EF2" w:rsidRDefault="00B61EF2">
      <w:pPr>
        <w:jc w:val="both"/>
        <w:rPr>
          <w:szCs w:val="24"/>
        </w:rPr>
      </w:pPr>
    </w:p>
    <w:p w14:paraId="6F0E423D" w14:textId="77777777" w:rsidR="00B61EF2" w:rsidRDefault="00B61EF2">
      <w:pPr>
        <w:jc w:val="center"/>
        <w:rPr>
          <w:szCs w:val="24"/>
        </w:rPr>
      </w:pPr>
    </w:p>
    <w:p w14:paraId="11101B5E" w14:textId="77777777" w:rsidR="00B61EF2" w:rsidRDefault="000730C1">
      <w:pPr>
        <w:jc w:val="center"/>
        <w:rPr>
          <w:b/>
          <w:szCs w:val="24"/>
        </w:rPr>
      </w:pPr>
      <w:r>
        <w:rPr>
          <w:b/>
          <w:szCs w:val="24"/>
        </w:rPr>
        <w:t>VILNIAUS RAJONO SAVIVALDYBĖS BIUDŽETO LĖŠŲ, SKIRTŲ VILNIAUS RAJONO SAVIVALDYBĖS MOKYKLŲ BENDRUOMENĖMS SKATINTI BEI MOKINIŲ POILSIUI ORGANIZUOTI, NAUDOJIMO TVARKOS APRAŠAS</w:t>
      </w:r>
    </w:p>
    <w:p w14:paraId="31F6ACB5" w14:textId="77777777" w:rsidR="00B61EF2" w:rsidRDefault="00B61EF2">
      <w:pPr>
        <w:rPr>
          <w:b/>
          <w:szCs w:val="24"/>
        </w:rPr>
      </w:pPr>
    </w:p>
    <w:p w14:paraId="5F4C6123" w14:textId="77777777" w:rsidR="00B61EF2" w:rsidRDefault="000730C1">
      <w:pPr>
        <w:jc w:val="center"/>
        <w:rPr>
          <w:b/>
          <w:szCs w:val="24"/>
        </w:rPr>
      </w:pPr>
      <w:r>
        <w:rPr>
          <w:b/>
          <w:szCs w:val="24"/>
        </w:rPr>
        <w:t>I SKYRIUS</w:t>
      </w:r>
    </w:p>
    <w:p w14:paraId="10375D33" w14:textId="77777777" w:rsidR="00B61EF2" w:rsidRDefault="000730C1">
      <w:pPr>
        <w:jc w:val="center"/>
        <w:rPr>
          <w:b/>
          <w:szCs w:val="24"/>
        </w:rPr>
      </w:pPr>
      <w:r>
        <w:rPr>
          <w:b/>
          <w:szCs w:val="24"/>
        </w:rPr>
        <w:t>BENDROSIOS NUOSTATOS</w:t>
      </w:r>
    </w:p>
    <w:p w14:paraId="36FF2D11" w14:textId="77777777" w:rsidR="00B61EF2" w:rsidRDefault="00B61EF2">
      <w:pPr>
        <w:ind w:left="567"/>
        <w:jc w:val="both"/>
        <w:rPr>
          <w:b/>
          <w:szCs w:val="24"/>
        </w:rPr>
      </w:pPr>
    </w:p>
    <w:p w14:paraId="7670C036" w14:textId="77777777" w:rsidR="00B61EF2" w:rsidRDefault="000730C1">
      <w:pPr>
        <w:ind w:firstLine="567"/>
        <w:jc w:val="both"/>
        <w:rPr>
          <w:szCs w:val="24"/>
        </w:rPr>
      </w:pPr>
      <w:r>
        <w:rPr>
          <w:szCs w:val="24"/>
        </w:rPr>
        <w:t>1. Vilniaus rajono savivaldybės biudžeto lėšų, skirtų Vilniaus rajono savivaldybės mokyklų bendruomenėms skatinti bei mokinių poilsiui organizuoti, naudojimo tvarkos aprašas (toliau – Aprašas) reglamentuoja lėšų, skirtų Vilniaus rajono savivaldybės (toliau – Savivaldybė) švietimo įstaigų, kurių savininko teises ir pareigas įgyvendina Savivaldybės taryba (toliau – Švietimo įstaiga) bendruomenėms skatinti, edukacinėms ir pažintinėms išvykoms bei mokinių poilsiui organizuoti finansavimo skyrimo, naudojimo ir kontrolės tvarką.</w:t>
      </w:r>
    </w:p>
    <w:p w14:paraId="5E8ACC0E" w14:textId="77777777" w:rsidR="00B61EF2" w:rsidRDefault="000730C1">
      <w:pPr>
        <w:ind w:firstLine="567"/>
        <w:jc w:val="both"/>
        <w:rPr>
          <w:szCs w:val="24"/>
        </w:rPr>
      </w:pPr>
      <w:r>
        <w:rPr>
          <w:szCs w:val="24"/>
        </w:rPr>
        <w:t xml:space="preserve">2. Savivaldybės biudžeto lėšos, skirtos Švietimo įstaigų bendruomenėms skatinti, edukacinėms ir pažintinėms išvykoms bei mokinių poilsiui organizuoti (toliau – lėšos švietimui ), yra Savivaldybės biudžeto asignavimų dalis. </w:t>
      </w:r>
    </w:p>
    <w:p w14:paraId="0DC3196B" w14:textId="77777777" w:rsidR="00B61EF2" w:rsidRDefault="000730C1">
      <w:pPr>
        <w:ind w:firstLine="567"/>
        <w:jc w:val="both"/>
        <w:rPr>
          <w:szCs w:val="24"/>
        </w:rPr>
      </w:pPr>
      <w:r>
        <w:rPr>
          <w:szCs w:val="24"/>
        </w:rPr>
        <w:t xml:space="preserve">3. Lėšų švietimui paskirtis </w:t>
      </w:r>
      <w:r>
        <w:rPr>
          <w:b/>
          <w:szCs w:val="24"/>
        </w:rPr>
        <w:t xml:space="preserve">– </w:t>
      </w:r>
      <w:r>
        <w:rPr>
          <w:bCs/>
          <w:szCs w:val="24"/>
        </w:rPr>
        <w:t>finansuoti išlaidas, skirtas p</w:t>
      </w:r>
      <w:r>
        <w:rPr>
          <w:bCs/>
          <w:iCs/>
          <w:szCs w:val="24"/>
        </w:rPr>
        <w:t>agerbti, apdovanoti</w:t>
      </w:r>
      <w:r>
        <w:rPr>
          <w:b/>
          <w:i/>
          <w:iCs/>
          <w:szCs w:val="24"/>
        </w:rPr>
        <w:t xml:space="preserve"> </w:t>
      </w:r>
      <w:r>
        <w:rPr>
          <w:szCs w:val="24"/>
        </w:rPr>
        <w:t xml:space="preserve">gabius Švietimo įstaigų mokinius bei juos paruošusius mokytojus, pasiekusius aukštų rezultatų akademinėje, meno, technikos ir sporto veiklose </w:t>
      </w:r>
      <w:r>
        <w:rPr>
          <w:bCs/>
          <w:szCs w:val="24"/>
        </w:rPr>
        <w:t>bei skatinti</w:t>
      </w:r>
      <w:r>
        <w:rPr>
          <w:szCs w:val="24"/>
        </w:rPr>
        <w:t xml:space="preserve"> juos atstovauti ir garsinti Savivaldybės vardą, sudaryti sąlygas turiningai pažintinei, edukacinei veiklai bei fiziniam aktyvumui ugdymo proceso bei atostogų metu, plėtoti švietėjišką veiklą ir bendradarbiavimą su kitais šalies bei užsienio partneriais.</w:t>
      </w:r>
    </w:p>
    <w:p w14:paraId="10B2D9AB" w14:textId="77777777" w:rsidR="00B61EF2" w:rsidRDefault="000730C1">
      <w:pPr>
        <w:ind w:firstLine="567"/>
        <w:jc w:val="both"/>
        <w:rPr>
          <w:szCs w:val="24"/>
        </w:rPr>
      </w:pPr>
      <w:r>
        <w:rPr>
          <w:szCs w:val="24"/>
        </w:rPr>
        <w:t>4. Konkretų lėšų dydį metams nustato Savivaldybės Taryba, tvirtinant arba tikslinant atitinkamų biudžetinių metų Vilniaus rajono savivaldybės biudžetą, o paskirstymą ketvirčiais – Savivaldybės administracijos direktorius.</w:t>
      </w:r>
    </w:p>
    <w:p w14:paraId="385526A6" w14:textId="77777777" w:rsidR="00B61EF2" w:rsidRDefault="00B61EF2">
      <w:pPr>
        <w:ind w:left="1058"/>
        <w:jc w:val="both"/>
        <w:rPr>
          <w:szCs w:val="24"/>
        </w:rPr>
      </w:pPr>
    </w:p>
    <w:p w14:paraId="35B88A9E" w14:textId="77777777" w:rsidR="00B61EF2" w:rsidRDefault="000730C1">
      <w:pPr>
        <w:jc w:val="center"/>
        <w:rPr>
          <w:b/>
          <w:szCs w:val="24"/>
        </w:rPr>
      </w:pPr>
      <w:r>
        <w:rPr>
          <w:b/>
          <w:szCs w:val="24"/>
        </w:rPr>
        <w:t>II SKYRIUS</w:t>
      </w:r>
    </w:p>
    <w:p w14:paraId="03AAA0D9" w14:textId="77777777" w:rsidR="00B61EF2" w:rsidRDefault="000730C1">
      <w:pPr>
        <w:jc w:val="center"/>
        <w:rPr>
          <w:b/>
          <w:szCs w:val="24"/>
        </w:rPr>
      </w:pPr>
      <w:r>
        <w:rPr>
          <w:b/>
          <w:szCs w:val="24"/>
        </w:rPr>
        <w:t>LĖŠŲ SKYRIMAS, NAUDOJIMAS IR KONTROLĖ</w:t>
      </w:r>
    </w:p>
    <w:p w14:paraId="43E96951" w14:textId="77777777" w:rsidR="00B61EF2" w:rsidRDefault="00B61EF2">
      <w:pPr>
        <w:tabs>
          <w:tab w:val="left" w:pos="0"/>
          <w:tab w:val="left" w:pos="993"/>
          <w:tab w:val="left" w:pos="1276"/>
          <w:tab w:val="left" w:pos="1560"/>
        </w:tabs>
        <w:ind w:left="1418"/>
        <w:jc w:val="both"/>
        <w:rPr>
          <w:szCs w:val="24"/>
        </w:rPr>
      </w:pPr>
    </w:p>
    <w:p w14:paraId="6C7A2303" w14:textId="77777777" w:rsidR="00B61EF2" w:rsidRDefault="000730C1">
      <w:pPr>
        <w:tabs>
          <w:tab w:val="left" w:pos="0"/>
          <w:tab w:val="left" w:pos="993"/>
          <w:tab w:val="left" w:pos="1276"/>
          <w:tab w:val="left" w:pos="1560"/>
        </w:tabs>
        <w:ind w:firstLine="567"/>
        <w:jc w:val="both"/>
        <w:rPr>
          <w:szCs w:val="24"/>
        </w:rPr>
      </w:pPr>
      <w:r>
        <w:rPr>
          <w:szCs w:val="24"/>
        </w:rPr>
        <w:t xml:space="preserve">5. </w:t>
      </w:r>
      <w:r>
        <w:rPr>
          <w:bCs/>
          <w:szCs w:val="24"/>
        </w:rPr>
        <w:t>Lėšos švietimui, skiriamos</w:t>
      </w:r>
      <w:r>
        <w:rPr>
          <w:b/>
          <w:szCs w:val="24"/>
        </w:rPr>
        <w:t xml:space="preserve"> </w:t>
      </w:r>
      <w:r>
        <w:rPr>
          <w:bCs/>
          <w:szCs w:val="24"/>
        </w:rPr>
        <w:t>šiems tikslams finansuoti:</w:t>
      </w:r>
    </w:p>
    <w:p w14:paraId="249E1B15" w14:textId="77777777" w:rsidR="00B61EF2" w:rsidRDefault="000730C1">
      <w:pPr>
        <w:ind w:firstLine="567"/>
        <w:jc w:val="both"/>
        <w:rPr>
          <w:szCs w:val="24"/>
        </w:rPr>
      </w:pPr>
      <w:r>
        <w:rPr>
          <w:szCs w:val="24"/>
        </w:rPr>
        <w:t>5.1 Švietimo įstaigų abiturientams, gavusiems brandos atestatus su pagyrimu ir (ar) gavusiems už valstybinius brandos egzaminus šimto balų įvertinimus ir juos paruošusiems mokytojams apdovanoti bei apdovanojimų įteikimo šventės organizavimo išlaidoms padengti;</w:t>
      </w:r>
    </w:p>
    <w:p w14:paraId="6081CB2B" w14:textId="77777777" w:rsidR="00B61EF2" w:rsidRDefault="000730C1">
      <w:pPr>
        <w:ind w:firstLine="567"/>
        <w:jc w:val="both"/>
        <w:rPr>
          <w:szCs w:val="24"/>
        </w:rPr>
      </w:pPr>
      <w:r>
        <w:rPr>
          <w:szCs w:val="24"/>
        </w:rPr>
        <w:t>5.2. rajoninių, respublikinių, tarptautinių olimpiadų, konkursų, festivalių, varžybų organizavimo išlaidoms padengti;</w:t>
      </w:r>
    </w:p>
    <w:p w14:paraId="6E5C28F4" w14:textId="77777777" w:rsidR="00B61EF2" w:rsidRDefault="000730C1">
      <w:pPr>
        <w:ind w:firstLine="567"/>
        <w:jc w:val="both"/>
        <w:rPr>
          <w:szCs w:val="24"/>
        </w:rPr>
      </w:pPr>
      <w:r>
        <w:rPr>
          <w:szCs w:val="24"/>
        </w:rPr>
        <w:t xml:space="preserve">5.3. rajoninių, respublikinių, tarptautinių olimpiadų, konkursų, festivalių, varžybų, čempionatų prizininkams, laureatams, </w:t>
      </w:r>
      <w:r>
        <w:rPr>
          <w:szCs w:val="24"/>
          <w:lang w:eastAsia="lt-LT"/>
        </w:rPr>
        <w:t>didžiojo prizo (</w:t>
      </w:r>
      <w:proofErr w:type="spellStart"/>
      <w:r>
        <w:rPr>
          <w:i/>
          <w:szCs w:val="24"/>
          <w:lang w:eastAsia="lt-LT"/>
        </w:rPr>
        <w:t>GrandPrix</w:t>
      </w:r>
      <w:proofErr w:type="spellEnd"/>
      <w:r>
        <w:rPr>
          <w:szCs w:val="24"/>
          <w:lang w:eastAsia="lt-LT"/>
        </w:rPr>
        <w:t>)</w:t>
      </w:r>
      <w:r>
        <w:rPr>
          <w:szCs w:val="24"/>
        </w:rPr>
        <w:t xml:space="preserve"> </w:t>
      </w:r>
      <w:r>
        <w:rPr>
          <w:szCs w:val="24"/>
          <w:lang w:eastAsia="lt-LT"/>
        </w:rPr>
        <w:t>laimėtojams</w:t>
      </w:r>
      <w:r>
        <w:rPr>
          <w:szCs w:val="24"/>
        </w:rPr>
        <w:t xml:space="preserve"> bei juos paruošusiems mokytojams apdovanoti;</w:t>
      </w:r>
    </w:p>
    <w:p w14:paraId="609C0DE7" w14:textId="77777777" w:rsidR="00B61EF2" w:rsidRDefault="000730C1">
      <w:pPr>
        <w:ind w:firstLine="567"/>
        <w:jc w:val="both"/>
      </w:pPr>
      <w:r>
        <w:rPr>
          <w:szCs w:val="24"/>
        </w:rPr>
        <w:t xml:space="preserve">5.4. </w:t>
      </w:r>
      <w:r>
        <w:t>Švietimo įstaigų mokiniams apdovanoti už pasiekimus:</w:t>
      </w:r>
    </w:p>
    <w:p w14:paraId="5DCE3B18" w14:textId="77777777" w:rsidR="00B61EF2" w:rsidRDefault="000730C1">
      <w:pPr>
        <w:ind w:firstLine="567"/>
        <w:jc w:val="both"/>
      </w:pPr>
      <w:r>
        <w:t xml:space="preserve">5.4.1. Lietuvos mokinių neformaliojo švietimo centro organizuojamose akademinės veiklos (mokslo srities) olimpiadose, konkursuose, festivaliuose, varžybose pagal Lietuvos Respublikos švietimo, mokslo ir sporto ministro patvirtintą Lietuvos mokinių dalykinių olimpiadų, konkursų ir kitų renginių grafiką, įvairių institucijų organizuojamų nacionalinių renginių grafiką; </w:t>
      </w:r>
    </w:p>
    <w:p w14:paraId="4BBE024D" w14:textId="77777777" w:rsidR="00B61EF2" w:rsidRDefault="000730C1">
      <w:pPr>
        <w:ind w:firstLine="567"/>
        <w:jc w:val="both"/>
        <w:rPr>
          <w:szCs w:val="24"/>
        </w:rPr>
      </w:pPr>
      <w:r>
        <w:t>5.4.2. sporto renginiuose (</w:t>
      </w:r>
      <w:r>
        <w:rPr>
          <w:szCs w:val="24"/>
        </w:rPr>
        <w:t xml:space="preserve">čempionatuose, pirmenybėse, taurės varžybose ir kt.), kurie yra įtraukti į </w:t>
      </w:r>
      <w:r>
        <w:t xml:space="preserve">Lietuvos mokinių neformaliojo švietimo centro, </w:t>
      </w:r>
      <w:r>
        <w:rPr>
          <w:szCs w:val="24"/>
        </w:rPr>
        <w:t>respublikinių ir tarptautinių sporto šakų federacijų sporto renginių (varžybų) kalendorius, Europos ir pasaulio čempionatuose, olimpinėse žaidynėse ir olimpiniuose festivaliuose;</w:t>
      </w:r>
    </w:p>
    <w:p w14:paraId="536B241B" w14:textId="77777777" w:rsidR="00B61EF2" w:rsidRDefault="000730C1">
      <w:pPr>
        <w:ind w:firstLine="567"/>
        <w:jc w:val="both"/>
      </w:pPr>
      <w:r>
        <w:rPr>
          <w:szCs w:val="24"/>
        </w:rPr>
        <w:lastRenderedPageBreak/>
        <w:t xml:space="preserve">5.4.3. </w:t>
      </w:r>
      <w:r>
        <w:t>kitų institucijų organizuojamose meno ir technikos krypties, specialiojo ugdymo olimpiadose;</w:t>
      </w:r>
    </w:p>
    <w:p w14:paraId="5054FB5F" w14:textId="77777777" w:rsidR="00B61EF2" w:rsidRDefault="000730C1">
      <w:pPr>
        <w:ind w:firstLine="567"/>
        <w:jc w:val="both"/>
        <w:rPr>
          <w:strike/>
          <w:szCs w:val="24"/>
        </w:rPr>
      </w:pPr>
      <w:r>
        <w:t>5.5. Švietimo įstaigų m</w:t>
      </w:r>
      <w:r>
        <w:rPr>
          <w:szCs w:val="24"/>
          <w:lang w:eastAsia="lt-LT"/>
        </w:rPr>
        <w:t>etodinių centrų organizuojamų konkursų nugalėtojams ir laureatams apdovanoti;</w:t>
      </w:r>
    </w:p>
    <w:p w14:paraId="673C4400" w14:textId="77777777" w:rsidR="00B61EF2" w:rsidRDefault="000730C1">
      <w:pPr>
        <w:ind w:firstLine="567"/>
        <w:jc w:val="both"/>
        <w:rPr>
          <w:szCs w:val="24"/>
        </w:rPr>
      </w:pPr>
      <w:r>
        <w:rPr>
          <w:szCs w:val="24"/>
        </w:rPr>
        <w:t xml:space="preserve">5.6. </w:t>
      </w:r>
      <w:r>
        <w:rPr>
          <w:bCs/>
          <w:szCs w:val="24"/>
        </w:rPr>
        <w:t>Švietimo įstaigų mokinių, pasiekusių aukštų rezultatų akademinėje (mokslo srities), meno, technikos ar sporto veiklose ir</w:t>
      </w:r>
      <w:r>
        <w:rPr>
          <w:szCs w:val="24"/>
        </w:rPr>
        <w:t xml:space="preserve"> juos lydinčių mokytojų edukacinėms (pažintinėms), piligriminėms kelionėms (išvykoms) organizuoti bei jų kelionės, maitinimo, apgyvendinimo, transporto išlaidoms apmokėti;</w:t>
      </w:r>
    </w:p>
    <w:p w14:paraId="0E09A1B3" w14:textId="77777777" w:rsidR="00B61EF2" w:rsidRDefault="000730C1">
      <w:pPr>
        <w:ind w:firstLine="567"/>
        <w:jc w:val="both"/>
        <w:rPr>
          <w:szCs w:val="24"/>
        </w:rPr>
      </w:pPr>
      <w:r>
        <w:rPr>
          <w:szCs w:val="24"/>
        </w:rPr>
        <w:t xml:space="preserve">5.7. Švietimo įstaigų mokinių ir juos lydinčių mokytojų, vykstančių į respublikines, tarptautines olimpiadas, konkursus, sporto varžybas ir kitus renginius </w:t>
      </w:r>
      <w:r>
        <w:rPr>
          <w:bCs/>
          <w:szCs w:val="24"/>
        </w:rPr>
        <w:t>kelionės (transporto), maitinimo bei apgyvendinimo išlaidoms apmokėti;</w:t>
      </w:r>
    </w:p>
    <w:p w14:paraId="228D0082" w14:textId="77777777" w:rsidR="00B61EF2" w:rsidRDefault="000730C1">
      <w:pPr>
        <w:ind w:firstLine="567"/>
        <w:jc w:val="both"/>
        <w:rPr>
          <w:szCs w:val="24"/>
        </w:rPr>
      </w:pPr>
      <w:r>
        <w:rPr>
          <w:szCs w:val="24"/>
        </w:rPr>
        <w:t>5.8. mokinių vasaros poilsio programoms (stovykloms) finansuoti pagal atskirą Savivaldybės administracijos direktoriaus įsakymu patvirtintą Mokinių vasaros poilsio programų konkurso organizavimo Vilniaus rajono savivaldybėje tvarkos aprašą;</w:t>
      </w:r>
    </w:p>
    <w:p w14:paraId="165942B6" w14:textId="77777777" w:rsidR="00B61EF2" w:rsidRDefault="000730C1">
      <w:pPr>
        <w:ind w:firstLine="567"/>
        <w:jc w:val="both"/>
        <w:rPr>
          <w:szCs w:val="24"/>
        </w:rPr>
      </w:pPr>
      <w:r>
        <w:rPr>
          <w:szCs w:val="24"/>
        </w:rPr>
        <w:t>5.9. švietimo delegacijų, atvykstančių iš kitų miestų bei valstybių, priėmimo organizavimo (maitinimo, apgyvendinimo, kultūros objektų lankymo) ir kt. išlaidoms apmokėti pagal pateiktus dokumentus;</w:t>
      </w:r>
    </w:p>
    <w:p w14:paraId="7960FE87" w14:textId="77777777" w:rsidR="00B61EF2" w:rsidRDefault="000730C1">
      <w:pPr>
        <w:ind w:firstLine="567"/>
        <w:jc w:val="both"/>
        <w:rPr>
          <w:szCs w:val="24"/>
        </w:rPr>
      </w:pPr>
      <w:r>
        <w:rPr>
          <w:szCs w:val="24"/>
        </w:rPr>
        <w:t>5.10. Švietimo įstaigų delegacijų, vykstančių į kitus miestus bei valstybes, reprezentacinėms (dovanoms, suvenyrams), organizacinėms, kelionės (transporto, maitinimo, apgyvendinimo)  ir kt. išlaidoms apmokėti pagal pateiktus dokumentus;</w:t>
      </w:r>
    </w:p>
    <w:p w14:paraId="19118D03" w14:textId="77777777" w:rsidR="00B61EF2" w:rsidRDefault="000730C1">
      <w:pPr>
        <w:ind w:firstLine="567"/>
        <w:jc w:val="both"/>
        <w:rPr>
          <w:szCs w:val="24"/>
        </w:rPr>
      </w:pPr>
      <w:r>
        <w:rPr>
          <w:szCs w:val="24"/>
        </w:rPr>
        <w:t xml:space="preserve">5.11. Švietimo įstaigoms bei švietimo darbuotojams (pedagogams, specialistams), pelniusiems apdovanojimus kitų institucijų organizuojamuose konkursuose akademinėje, meno, technikos, sporto, švietimo pagalbos srityse, apdovanoti; </w:t>
      </w:r>
    </w:p>
    <w:p w14:paraId="515B6B41" w14:textId="77777777" w:rsidR="00B61EF2" w:rsidRDefault="000730C1">
      <w:pPr>
        <w:ind w:firstLine="567"/>
        <w:jc w:val="both"/>
        <w:rPr>
          <w:szCs w:val="24"/>
        </w:rPr>
      </w:pPr>
      <w:r>
        <w:rPr>
          <w:szCs w:val="24"/>
        </w:rPr>
        <w:t>5.12. Švietimo įstaigų apdovanojimams jubiliejų bei kitų ypatingų švenčių proga;</w:t>
      </w:r>
    </w:p>
    <w:p w14:paraId="3B2E7B2C" w14:textId="77777777" w:rsidR="00B61EF2" w:rsidRDefault="000730C1">
      <w:pPr>
        <w:ind w:firstLine="567"/>
        <w:jc w:val="both"/>
        <w:rPr>
          <w:szCs w:val="24"/>
        </w:rPr>
      </w:pPr>
      <w:r>
        <w:rPr>
          <w:szCs w:val="24"/>
        </w:rPr>
        <w:t>6. Prašymus Savivaldybės administracijai dėl lėšų skyrimo (išskyrus Aprašo 5.8. punktą) turi teisę teikti Savivaldybės administracijos struktūrinių padalinių vadovai, Švietimo įstaigos. Kartu su prašymu būtina pateikti finansavimo poreikį pagrindžiančius dokumentus (sąskaitas faktūras, sąmatas, sutartis ir kt.). Prašyme būtina nurodyti sumą ir ekonominės klasifikacijos kodą.</w:t>
      </w:r>
    </w:p>
    <w:p w14:paraId="013829AB" w14:textId="77777777" w:rsidR="00B61EF2" w:rsidRDefault="000730C1">
      <w:pPr>
        <w:ind w:firstLine="567"/>
        <w:jc w:val="both"/>
        <w:rPr>
          <w:szCs w:val="24"/>
        </w:rPr>
      </w:pPr>
      <w:r>
        <w:rPr>
          <w:szCs w:val="24"/>
        </w:rPr>
        <w:t>7. Prašymų dėl lėšų skyrimo pagrįstumą nagrinėja Savivaldybės administracijos direktoriaus įsakymu sudaryta komisija (toliau – Komisija);</w:t>
      </w:r>
    </w:p>
    <w:p w14:paraId="62A34110" w14:textId="77777777" w:rsidR="00B61EF2" w:rsidRDefault="000730C1">
      <w:pPr>
        <w:ind w:firstLine="567"/>
        <w:jc w:val="both"/>
        <w:rPr>
          <w:szCs w:val="24"/>
        </w:rPr>
      </w:pPr>
      <w:r>
        <w:rPr>
          <w:szCs w:val="24"/>
        </w:rPr>
        <w:t>8. Komisija turi teisę pareikalauti iš subjekto, kurio prašymas vertinamas, papildomos informacijos, susijusios su prašymo svarstymu. Prašymo teikėjas per Komisijos nustatytą terminą privalo pateikti šią informaciją. Nepateikus prašomos informacijos, prašymas nenagrinėjamas.</w:t>
      </w:r>
    </w:p>
    <w:p w14:paraId="2C03E8A5" w14:textId="77777777" w:rsidR="00B61EF2" w:rsidRDefault="000730C1">
      <w:pPr>
        <w:ind w:firstLine="567"/>
        <w:jc w:val="both"/>
        <w:rPr>
          <w:szCs w:val="24"/>
        </w:rPr>
      </w:pPr>
      <w:r>
        <w:rPr>
          <w:szCs w:val="24"/>
        </w:rPr>
        <w:t>9. Pateiktas prašymas turi būti Komisijos išnagrinėtas ir siūlymas dėl lėšų skyrimo pateiktas Savivaldybės administracijos direktoriui per 15 darbo dienų.</w:t>
      </w:r>
    </w:p>
    <w:p w14:paraId="2D00BB1D" w14:textId="77777777" w:rsidR="00B61EF2" w:rsidRDefault="000730C1">
      <w:pPr>
        <w:ind w:firstLine="567"/>
        <w:jc w:val="both"/>
        <w:rPr>
          <w:szCs w:val="24"/>
        </w:rPr>
      </w:pPr>
      <w:r>
        <w:rPr>
          <w:szCs w:val="24"/>
        </w:rPr>
        <w:t>10. Savivaldybės administracijos direktorius, atsižvelgęs į Komisijos siūlymą, per 5 darbo dienas priimą sprendimą: a) prašymo netenkinti, b) prašymą tenkinti, c) prašymą tenkinti iš dalies.</w:t>
      </w:r>
    </w:p>
    <w:p w14:paraId="101711B8" w14:textId="77777777" w:rsidR="00B61EF2" w:rsidRDefault="000730C1">
      <w:pPr>
        <w:ind w:firstLine="567"/>
        <w:jc w:val="both"/>
        <w:rPr>
          <w:szCs w:val="24"/>
        </w:rPr>
      </w:pPr>
      <w:r>
        <w:rPr>
          <w:szCs w:val="24"/>
        </w:rPr>
        <w:t xml:space="preserve">11. Finansavimas skiriamas Savivaldybės administracijos direktoriaus įsakymu. </w:t>
      </w:r>
    </w:p>
    <w:p w14:paraId="600F6C93" w14:textId="77777777" w:rsidR="00B61EF2" w:rsidRDefault="000730C1">
      <w:pPr>
        <w:ind w:firstLine="567"/>
        <w:jc w:val="both"/>
        <w:rPr>
          <w:szCs w:val="24"/>
        </w:rPr>
      </w:pPr>
      <w:r>
        <w:rPr>
          <w:rFonts w:eastAsia="Calibri"/>
          <w:szCs w:val="24"/>
        </w:rPr>
        <w:t xml:space="preserve">12. Savivaldybės administracija per 3 darbo dienas </w:t>
      </w:r>
      <w:r>
        <w:rPr>
          <w:szCs w:val="24"/>
        </w:rPr>
        <w:t xml:space="preserve">informuoja prašymą pateikusį subjektą apie pateikto prašymo nagrinėjimo rezultatus,  kartu pateikdama priimto sprendimo kopiją. </w:t>
      </w:r>
    </w:p>
    <w:p w14:paraId="4AC52E1A" w14:textId="77777777" w:rsidR="00B61EF2" w:rsidRDefault="000730C1">
      <w:pPr>
        <w:ind w:firstLine="567"/>
        <w:jc w:val="both"/>
        <w:rPr>
          <w:b/>
          <w:szCs w:val="24"/>
          <w:highlight w:val="yellow"/>
        </w:rPr>
      </w:pPr>
      <w:r>
        <w:rPr>
          <w:szCs w:val="24"/>
        </w:rPr>
        <w:t>13. Savivaldybės administracijos Buhalterinės apskaitos skyrius, gavęs Savivaldybės administracijos direktoriaus įsakymą dėl lėšų skyrimo, perveda skirtas lėšas į nurodytą atsiskaitomąją sąskaitą arba apmoka išlaidas.</w:t>
      </w:r>
    </w:p>
    <w:p w14:paraId="0986681A" w14:textId="77777777" w:rsidR="00B61EF2" w:rsidRDefault="000730C1">
      <w:pPr>
        <w:ind w:firstLine="567"/>
        <w:jc w:val="both"/>
        <w:rPr>
          <w:szCs w:val="24"/>
        </w:rPr>
      </w:pPr>
      <w:r>
        <w:rPr>
          <w:szCs w:val="24"/>
        </w:rPr>
        <w:t>14. Už lėšų naudojimą pagal tikslinę paskirtį yra atsakingas lėšų gavėjas.</w:t>
      </w:r>
    </w:p>
    <w:p w14:paraId="045459F5" w14:textId="77777777" w:rsidR="00B61EF2" w:rsidRDefault="000730C1">
      <w:pPr>
        <w:ind w:firstLine="567"/>
        <w:jc w:val="both"/>
        <w:rPr>
          <w:strike/>
          <w:szCs w:val="24"/>
        </w:rPr>
      </w:pPr>
      <w:r>
        <w:rPr>
          <w:szCs w:val="24"/>
        </w:rPr>
        <w:t xml:space="preserve">15. Lėšų gavėjas, panaudojus lėšas, pasibaigus ketvirčiui iki kito mėnesio 10 d., privalo pateikti Savivaldybės Biudžeto planavimo skyriui Biudžeto išlaidų sąmatos vykdymo ataskaitą, forma Nr. 2, patvirtintą Lietuvos Respublikos finansų ministro įsakymu. </w:t>
      </w:r>
    </w:p>
    <w:p w14:paraId="330BBB6F" w14:textId="77777777" w:rsidR="00B61EF2" w:rsidRDefault="000730C1">
      <w:pPr>
        <w:ind w:firstLine="558"/>
        <w:jc w:val="both"/>
        <w:rPr>
          <w:szCs w:val="24"/>
        </w:rPr>
      </w:pPr>
      <w:r>
        <w:rPr>
          <w:szCs w:val="24"/>
        </w:rPr>
        <w:t>16. Nepanaudotos arba panaudotos ne pagal paskirtį lėšos turi būti grąžintos į Savivaldybės sąskaitą iki einamųjų metų gruodžio 30 d.</w:t>
      </w:r>
    </w:p>
    <w:p w14:paraId="64226A56" w14:textId="77777777" w:rsidR="00B61EF2" w:rsidRDefault="000730C1">
      <w:pPr>
        <w:ind w:firstLine="567"/>
        <w:jc w:val="both"/>
        <w:rPr>
          <w:szCs w:val="24"/>
        </w:rPr>
      </w:pPr>
      <w:r>
        <w:rPr>
          <w:szCs w:val="24"/>
        </w:rPr>
        <w:t>17. Už Aprašo vykdymą atsakinga Vilniaus rajono savivaldybės administracija.</w:t>
      </w:r>
    </w:p>
    <w:p w14:paraId="17565D5B" w14:textId="77777777" w:rsidR="00B61EF2" w:rsidRDefault="00B61EF2">
      <w:pPr>
        <w:jc w:val="center"/>
        <w:rPr>
          <w:b/>
          <w:szCs w:val="24"/>
        </w:rPr>
      </w:pPr>
    </w:p>
    <w:p w14:paraId="6748260D" w14:textId="77777777" w:rsidR="00B61EF2" w:rsidRDefault="000730C1">
      <w:pPr>
        <w:jc w:val="center"/>
        <w:rPr>
          <w:b/>
          <w:szCs w:val="24"/>
        </w:rPr>
      </w:pPr>
      <w:r>
        <w:rPr>
          <w:b/>
          <w:szCs w:val="24"/>
        </w:rPr>
        <w:t>III SKYRIUS</w:t>
      </w:r>
    </w:p>
    <w:p w14:paraId="55E8B130" w14:textId="77777777" w:rsidR="00B61EF2" w:rsidRDefault="000730C1">
      <w:pPr>
        <w:jc w:val="center"/>
        <w:rPr>
          <w:b/>
          <w:szCs w:val="24"/>
        </w:rPr>
      </w:pPr>
      <w:r>
        <w:rPr>
          <w:b/>
          <w:szCs w:val="24"/>
        </w:rPr>
        <w:lastRenderedPageBreak/>
        <w:t>BAIGIAMOSIOS NUOSTATOS</w:t>
      </w:r>
    </w:p>
    <w:p w14:paraId="5AE270ED" w14:textId="77777777" w:rsidR="00B61EF2" w:rsidRDefault="00B61EF2">
      <w:pPr>
        <w:ind w:left="1080"/>
        <w:jc w:val="both"/>
        <w:rPr>
          <w:szCs w:val="24"/>
        </w:rPr>
      </w:pPr>
    </w:p>
    <w:p w14:paraId="3C1322EB" w14:textId="77777777" w:rsidR="00B61EF2" w:rsidRDefault="000730C1">
      <w:pPr>
        <w:ind w:firstLine="744"/>
        <w:jc w:val="both"/>
      </w:pPr>
      <w:r>
        <w:t>18. Apdovanojimai  gali būti išreiškiami piniginiu prizu / dovanų / dovanų kuponų / suvenyrų forma.</w:t>
      </w:r>
    </w:p>
    <w:p w14:paraId="452F5DA6" w14:textId="77777777" w:rsidR="00B61EF2" w:rsidRDefault="000730C1">
      <w:pPr>
        <w:ind w:firstLine="744"/>
        <w:jc w:val="both"/>
        <w:rPr>
          <w:szCs w:val="24"/>
        </w:rPr>
      </w:pPr>
      <w:r>
        <w:t xml:space="preserve">19. Apdovanojimų dydžiai (vertės) </w:t>
      </w:r>
      <w:r>
        <w:rPr>
          <w:szCs w:val="24"/>
        </w:rPr>
        <w:t>nustatomi Komisijos teikimu Savivaldybės administracijos direktoriaus įsakymu atsižvelgiant į  patvirtintą finansavimą.</w:t>
      </w:r>
    </w:p>
    <w:p w14:paraId="45287FB2" w14:textId="77777777" w:rsidR="00B61EF2" w:rsidRDefault="000730C1">
      <w:pPr>
        <w:ind w:firstLine="744"/>
        <w:jc w:val="both"/>
      </w:pPr>
      <w:r>
        <w:rPr>
          <w:szCs w:val="24"/>
        </w:rPr>
        <w:t>20. Apdovanojimas už pasiekimus gali būti skiriamas mokinių grupei, tačiau laimėjimas laikomas kaip vieno asmens ir apdovanojimo vertė pagal laimėtą vietą skiriama kaip vienam asmeniui.</w:t>
      </w:r>
    </w:p>
    <w:p w14:paraId="3DB7BA10" w14:textId="77777777" w:rsidR="00B61EF2" w:rsidRDefault="000730C1">
      <w:pPr>
        <w:ind w:firstLine="744"/>
        <w:jc w:val="both"/>
      </w:pPr>
      <w:r>
        <w:rPr>
          <w:szCs w:val="24"/>
        </w:rPr>
        <w:t>21. Mokytojui, paruošusiam mokinį, skiriamo apdovanojimo suma priklauso nuo mokinio laimėjimo.</w:t>
      </w:r>
    </w:p>
    <w:p w14:paraId="4C69CEF4" w14:textId="77777777" w:rsidR="00B61EF2" w:rsidRDefault="000730C1">
      <w:pPr>
        <w:ind w:firstLine="744"/>
        <w:jc w:val="both"/>
        <w:rPr>
          <w:szCs w:val="24"/>
        </w:rPr>
      </w:pPr>
      <w:r>
        <w:rPr>
          <w:szCs w:val="24"/>
        </w:rPr>
        <w:t xml:space="preserve">22. Šis Aprašas keičiamas, naikinamas ar stabdomas jo galiojimas Savivaldybės Tarybos sprendimu. </w:t>
      </w:r>
    </w:p>
    <w:p w14:paraId="12354A00" w14:textId="77777777" w:rsidR="00B61EF2" w:rsidRDefault="000730C1">
      <w:pPr>
        <w:ind w:firstLine="744"/>
        <w:jc w:val="both"/>
      </w:pPr>
      <w:r>
        <w:rPr>
          <w:szCs w:val="24"/>
        </w:rPr>
        <w:t>23. Tai, kas nereglamentuota šiame Apraše, sprendžiama taip, kaip numatyta Lietuvos Respublikos teisės aktuose.</w:t>
      </w:r>
    </w:p>
    <w:p w14:paraId="21648FEF" w14:textId="77777777" w:rsidR="00B61EF2" w:rsidRDefault="00B61EF2">
      <w:pPr>
        <w:jc w:val="center"/>
        <w:rPr>
          <w:b/>
          <w:szCs w:val="24"/>
        </w:rPr>
      </w:pPr>
    </w:p>
    <w:p w14:paraId="29F28490" w14:textId="77777777" w:rsidR="00B61EF2" w:rsidRDefault="000730C1">
      <w:pPr>
        <w:jc w:val="center"/>
        <w:rPr>
          <w:b/>
          <w:szCs w:val="24"/>
        </w:rPr>
      </w:pPr>
      <w:r>
        <w:rPr>
          <w:b/>
          <w:szCs w:val="24"/>
        </w:rPr>
        <w:t>____________________________________</w:t>
      </w:r>
    </w:p>
    <w:p w14:paraId="57D45FC1" w14:textId="77777777" w:rsidR="00B61EF2" w:rsidRDefault="00B61EF2">
      <w:pPr>
        <w:rPr>
          <w:sz w:val="20"/>
        </w:rPr>
      </w:pPr>
    </w:p>
    <w:sectPr w:rsidR="00B61EF2" w:rsidSect="000730C1">
      <w:pgSz w:w="11906" w:h="16838" w:code="9"/>
      <w:pgMar w:top="1134" w:right="567" w:bottom="851" w:left="1701" w:header="709" w:footer="709"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700AE" w14:textId="77777777" w:rsidR="006D71B2" w:rsidRDefault="006D71B2" w:rsidP="000730C1">
      <w:r>
        <w:separator/>
      </w:r>
    </w:p>
  </w:endnote>
  <w:endnote w:type="continuationSeparator" w:id="0">
    <w:p w14:paraId="1B16FD78" w14:textId="77777777" w:rsidR="006D71B2" w:rsidRDefault="006D71B2" w:rsidP="00073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0418C" w14:textId="77777777" w:rsidR="000730C1" w:rsidRDefault="000730C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B0293" w14:textId="77777777" w:rsidR="000730C1" w:rsidRDefault="000730C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47BD9" w14:textId="77777777" w:rsidR="000730C1" w:rsidRDefault="000730C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5938E" w14:textId="77777777" w:rsidR="006D71B2" w:rsidRDefault="006D71B2" w:rsidP="000730C1">
      <w:r>
        <w:separator/>
      </w:r>
    </w:p>
  </w:footnote>
  <w:footnote w:type="continuationSeparator" w:id="0">
    <w:p w14:paraId="4B5C406A" w14:textId="77777777" w:rsidR="006D71B2" w:rsidRDefault="006D71B2" w:rsidP="00073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740D" w14:textId="77777777" w:rsidR="000730C1" w:rsidRDefault="000730C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303155"/>
      <w:docPartObj>
        <w:docPartGallery w:val="Page Numbers (Top of Page)"/>
        <w:docPartUnique/>
      </w:docPartObj>
    </w:sdtPr>
    <w:sdtContent>
      <w:p w14:paraId="02A56CAE" w14:textId="77777777" w:rsidR="000730C1" w:rsidRDefault="000730C1">
        <w:pPr>
          <w:pStyle w:val="Antrats"/>
          <w:jc w:val="center"/>
        </w:pPr>
        <w:r>
          <w:fldChar w:fldCharType="begin"/>
        </w:r>
        <w:r>
          <w:instrText>PAGE   \* MERGEFORMAT</w:instrText>
        </w:r>
        <w:r>
          <w:fldChar w:fldCharType="separate"/>
        </w:r>
        <w:r w:rsidR="00302350">
          <w:rPr>
            <w:noProof/>
          </w:rPr>
          <w:t>3</w:t>
        </w:r>
        <w:r>
          <w:fldChar w:fldCharType="end"/>
        </w:r>
      </w:p>
    </w:sdtContent>
  </w:sdt>
  <w:p w14:paraId="1F46FAD2" w14:textId="77777777" w:rsidR="000730C1" w:rsidRDefault="000730C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3FC1" w14:textId="77777777" w:rsidR="000730C1" w:rsidRDefault="000730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E9"/>
    <w:rsid w:val="000730C1"/>
    <w:rsid w:val="00302350"/>
    <w:rsid w:val="004356E9"/>
    <w:rsid w:val="004D40D6"/>
    <w:rsid w:val="005A4535"/>
    <w:rsid w:val="006D71B2"/>
    <w:rsid w:val="00B61EF2"/>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875BB"/>
  <w15:chartTrackingRefBased/>
  <w15:docId w15:val="{813D2B41-1CD3-412F-A20E-CD9C981A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730C1"/>
    <w:pPr>
      <w:tabs>
        <w:tab w:val="center" w:pos="4819"/>
        <w:tab w:val="right" w:pos="9638"/>
      </w:tabs>
    </w:pPr>
  </w:style>
  <w:style w:type="character" w:customStyle="1" w:styleId="AntratsDiagrama">
    <w:name w:val="Antraštės Diagrama"/>
    <w:basedOn w:val="Numatytasispastraiposriftas"/>
    <w:link w:val="Antrats"/>
    <w:uiPriority w:val="99"/>
    <w:rsid w:val="000730C1"/>
  </w:style>
  <w:style w:type="paragraph" w:styleId="Porat">
    <w:name w:val="footer"/>
    <w:basedOn w:val="prastasis"/>
    <w:link w:val="PoratDiagrama"/>
    <w:unhideWhenUsed/>
    <w:rsid w:val="000730C1"/>
    <w:pPr>
      <w:tabs>
        <w:tab w:val="center" w:pos="4819"/>
        <w:tab w:val="right" w:pos="9638"/>
      </w:tabs>
    </w:pPr>
  </w:style>
  <w:style w:type="character" w:customStyle="1" w:styleId="PoratDiagrama">
    <w:name w:val="Poraštė Diagrama"/>
    <w:basedOn w:val="Numatytasispastraiposriftas"/>
    <w:link w:val="Porat"/>
    <w:rsid w:val="000730C1"/>
  </w:style>
  <w:style w:type="character" w:styleId="Vietosrezervavimoenklotekstas">
    <w:name w:val="Placeholder Text"/>
    <w:basedOn w:val="Numatytasispastraiposriftas"/>
    <w:rsid w:val="00073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113">
      <w:bodyDiv w:val="1"/>
      <w:marLeft w:val="0"/>
      <w:marRight w:val="0"/>
      <w:marTop w:val="0"/>
      <w:marBottom w:val="0"/>
      <w:divBdr>
        <w:top w:val="none" w:sz="0" w:space="0" w:color="auto"/>
        <w:left w:val="none" w:sz="0" w:space="0" w:color="auto"/>
        <w:bottom w:val="none" w:sz="0" w:space="0" w:color="auto"/>
        <w:right w:val="none" w:sz="0" w:space="0" w:color="auto"/>
      </w:divBdr>
    </w:div>
    <w:div w:id="185022225">
      <w:bodyDiv w:val="1"/>
      <w:marLeft w:val="0"/>
      <w:marRight w:val="0"/>
      <w:marTop w:val="0"/>
      <w:marBottom w:val="0"/>
      <w:divBdr>
        <w:top w:val="none" w:sz="0" w:space="0" w:color="auto"/>
        <w:left w:val="none" w:sz="0" w:space="0" w:color="auto"/>
        <w:bottom w:val="none" w:sz="0" w:space="0" w:color="auto"/>
        <w:right w:val="none" w:sz="0" w:space="0" w:color="auto"/>
      </w:divBdr>
    </w:div>
    <w:div w:id="204609692">
      <w:bodyDiv w:val="1"/>
      <w:marLeft w:val="0"/>
      <w:marRight w:val="0"/>
      <w:marTop w:val="0"/>
      <w:marBottom w:val="0"/>
      <w:divBdr>
        <w:top w:val="none" w:sz="0" w:space="0" w:color="auto"/>
        <w:left w:val="none" w:sz="0" w:space="0" w:color="auto"/>
        <w:bottom w:val="none" w:sz="0" w:space="0" w:color="auto"/>
        <w:right w:val="none" w:sz="0" w:space="0" w:color="auto"/>
      </w:divBdr>
    </w:div>
    <w:div w:id="260334178">
      <w:bodyDiv w:val="1"/>
      <w:marLeft w:val="0"/>
      <w:marRight w:val="0"/>
      <w:marTop w:val="0"/>
      <w:marBottom w:val="0"/>
      <w:divBdr>
        <w:top w:val="none" w:sz="0" w:space="0" w:color="auto"/>
        <w:left w:val="none" w:sz="0" w:space="0" w:color="auto"/>
        <w:bottom w:val="none" w:sz="0" w:space="0" w:color="auto"/>
        <w:right w:val="none" w:sz="0" w:space="0" w:color="auto"/>
      </w:divBdr>
    </w:div>
    <w:div w:id="430466677">
      <w:bodyDiv w:val="1"/>
      <w:marLeft w:val="0"/>
      <w:marRight w:val="0"/>
      <w:marTop w:val="0"/>
      <w:marBottom w:val="0"/>
      <w:divBdr>
        <w:top w:val="none" w:sz="0" w:space="0" w:color="auto"/>
        <w:left w:val="none" w:sz="0" w:space="0" w:color="auto"/>
        <w:bottom w:val="none" w:sz="0" w:space="0" w:color="auto"/>
        <w:right w:val="none" w:sz="0" w:space="0" w:color="auto"/>
      </w:divBdr>
      <w:divsChild>
        <w:div w:id="584611724">
          <w:marLeft w:val="0"/>
          <w:marRight w:val="0"/>
          <w:marTop w:val="0"/>
          <w:marBottom w:val="0"/>
          <w:divBdr>
            <w:top w:val="none" w:sz="0" w:space="0" w:color="auto"/>
            <w:left w:val="none" w:sz="0" w:space="0" w:color="auto"/>
            <w:bottom w:val="none" w:sz="0" w:space="0" w:color="auto"/>
            <w:right w:val="none" w:sz="0" w:space="0" w:color="auto"/>
          </w:divBdr>
        </w:div>
      </w:divsChild>
    </w:div>
    <w:div w:id="568854780">
      <w:bodyDiv w:val="1"/>
      <w:marLeft w:val="0"/>
      <w:marRight w:val="0"/>
      <w:marTop w:val="0"/>
      <w:marBottom w:val="0"/>
      <w:divBdr>
        <w:top w:val="none" w:sz="0" w:space="0" w:color="auto"/>
        <w:left w:val="none" w:sz="0" w:space="0" w:color="auto"/>
        <w:bottom w:val="none" w:sz="0" w:space="0" w:color="auto"/>
        <w:right w:val="none" w:sz="0" w:space="0" w:color="auto"/>
      </w:divBdr>
    </w:div>
    <w:div w:id="660161599">
      <w:bodyDiv w:val="1"/>
      <w:marLeft w:val="0"/>
      <w:marRight w:val="0"/>
      <w:marTop w:val="0"/>
      <w:marBottom w:val="0"/>
      <w:divBdr>
        <w:top w:val="none" w:sz="0" w:space="0" w:color="auto"/>
        <w:left w:val="none" w:sz="0" w:space="0" w:color="auto"/>
        <w:bottom w:val="none" w:sz="0" w:space="0" w:color="auto"/>
        <w:right w:val="none" w:sz="0" w:space="0" w:color="auto"/>
      </w:divBdr>
    </w:div>
    <w:div w:id="908884248">
      <w:bodyDiv w:val="1"/>
      <w:marLeft w:val="0"/>
      <w:marRight w:val="0"/>
      <w:marTop w:val="0"/>
      <w:marBottom w:val="0"/>
      <w:divBdr>
        <w:top w:val="none" w:sz="0" w:space="0" w:color="auto"/>
        <w:left w:val="none" w:sz="0" w:space="0" w:color="auto"/>
        <w:bottom w:val="none" w:sz="0" w:space="0" w:color="auto"/>
        <w:right w:val="none" w:sz="0" w:space="0" w:color="auto"/>
      </w:divBdr>
    </w:div>
    <w:div w:id="1143959786">
      <w:bodyDiv w:val="1"/>
      <w:marLeft w:val="0"/>
      <w:marRight w:val="0"/>
      <w:marTop w:val="0"/>
      <w:marBottom w:val="0"/>
      <w:divBdr>
        <w:top w:val="none" w:sz="0" w:space="0" w:color="auto"/>
        <w:left w:val="none" w:sz="0" w:space="0" w:color="auto"/>
        <w:bottom w:val="none" w:sz="0" w:space="0" w:color="auto"/>
        <w:right w:val="none" w:sz="0" w:space="0" w:color="auto"/>
      </w:divBdr>
    </w:div>
    <w:div w:id="1433014995">
      <w:bodyDiv w:val="1"/>
      <w:marLeft w:val="0"/>
      <w:marRight w:val="0"/>
      <w:marTop w:val="0"/>
      <w:marBottom w:val="0"/>
      <w:divBdr>
        <w:top w:val="none" w:sz="0" w:space="0" w:color="auto"/>
        <w:left w:val="none" w:sz="0" w:space="0" w:color="auto"/>
        <w:bottom w:val="none" w:sz="0" w:space="0" w:color="auto"/>
        <w:right w:val="none" w:sz="0" w:space="0" w:color="auto"/>
      </w:divBdr>
    </w:div>
    <w:div w:id="1585726337">
      <w:bodyDiv w:val="1"/>
      <w:marLeft w:val="0"/>
      <w:marRight w:val="0"/>
      <w:marTop w:val="0"/>
      <w:marBottom w:val="0"/>
      <w:divBdr>
        <w:top w:val="none" w:sz="0" w:space="0" w:color="auto"/>
        <w:left w:val="none" w:sz="0" w:space="0" w:color="auto"/>
        <w:bottom w:val="none" w:sz="0" w:space="0" w:color="auto"/>
        <w:right w:val="none" w:sz="0" w:space="0" w:color="auto"/>
      </w:divBdr>
    </w:div>
    <w:div w:id="2026251530">
      <w:bodyDiv w:val="1"/>
      <w:marLeft w:val="0"/>
      <w:marRight w:val="0"/>
      <w:marTop w:val="0"/>
      <w:marBottom w:val="0"/>
      <w:divBdr>
        <w:top w:val="none" w:sz="0" w:space="0" w:color="auto"/>
        <w:left w:val="none" w:sz="0" w:space="0" w:color="auto"/>
        <w:bottom w:val="none" w:sz="0" w:space="0" w:color="auto"/>
        <w:right w:val="none" w:sz="0" w:space="0" w:color="auto"/>
      </w:divBdr>
    </w:div>
    <w:div w:id="2073844724">
      <w:bodyDiv w:val="1"/>
      <w:marLeft w:val="0"/>
      <w:marRight w:val="0"/>
      <w:marTop w:val="0"/>
      <w:marBottom w:val="0"/>
      <w:divBdr>
        <w:top w:val="none" w:sz="0" w:space="0" w:color="auto"/>
        <w:left w:val="none" w:sz="0" w:space="0" w:color="auto"/>
        <w:bottom w:val="none" w:sz="0" w:space="0" w:color="auto"/>
        <w:right w:val="none" w:sz="0" w:space="0" w:color="auto"/>
      </w:divBdr>
      <w:divsChild>
        <w:div w:id="998733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760E6-81DC-469A-B48D-0CC5C356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6133</Words>
  <Characters>3497</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Savivaldybe</Company>
  <LinksUpToDate>false</LinksUpToDate>
  <CharactersWithSpaces>9611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Svietimas</dc:creator>
  <cp:lastModifiedBy>Andrius Karvelis</cp:lastModifiedBy>
  <cp:revision>2</cp:revision>
  <cp:lastPrinted>2022-06-21T06:41:00Z</cp:lastPrinted>
  <dcterms:created xsi:type="dcterms:W3CDTF">2024-08-18T08:37:00Z</dcterms:created>
  <dcterms:modified xsi:type="dcterms:W3CDTF">2024-08-18T08:37:00Z</dcterms:modified>
</cp:coreProperties>
</file>