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BC" w:rsidRDefault="0035389D">
      <w:pPr>
        <w:suppressAutoHyphens/>
        <w:ind w:left="9639" w:right="-31" w:firstLine="124"/>
        <w:jc w:val="both"/>
        <w:rPr>
          <w:sz w:val="20"/>
          <w:lang w:eastAsia="zh-CN"/>
        </w:rPr>
      </w:pPr>
      <w:r>
        <w:rPr>
          <w:szCs w:val="24"/>
          <w:lang w:eastAsia="zh-CN"/>
        </w:rPr>
        <w:t>PATVIRTINTA</w:t>
      </w:r>
    </w:p>
    <w:p w:rsidR="002F63BC" w:rsidRDefault="0035389D">
      <w:pPr>
        <w:suppressAutoHyphens/>
        <w:ind w:left="9639" w:right="-31" w:firstLine="124"/>
        <w:jc w:val="both"/>
        <w:rPr>
          <w:sz w:val="20"/>
          <w:lang w:eastAsia="zh-CN"/>
        </w:rPr>
      </w:pPr>
      <w:r>
        <w:rPr>
          <w:szCs w:val="24"/>
          <w:lang w:eastAsia="zh-CN"/>
        </w:rPr>
        <w:t>Vilniaus rajono savivaldybės tarybos</w:t>
      </w:r>
    </w:p>
    <w:p w:rsidR="002F63BC" w:rsidRDefault="0035389D" w:rsidP="0035389D">
      <w:pPr>
        <w:suppressAutoHyphens/>
        <w:ind w:left="4041" w:firstLine="5722"/>
        <w:jc w:val="both"/>
        <w:rPr>
          <w:sz w:val="20"/>
          <w:lang w:eastAsia="zh-CN"/>
        </w:rPr>
      </w:pPr>
      <w:bookmarkStart w:id="0" w:name="_GoBack"/>
      <w:bookmarkEnd w:id="0"/>
      <w:r>
        <w:rPr>
          <w:szCs w:val="24"/>
          <w:lang w:eastAsia="zh-CN"/>
        </w:rPr>
        <w:t>2016 m. sausio 29 d. sprendimu Nr. T3-3</w:t>
      </w:r>
    </w:p>
    <w:p w:rsidR="002F63BC" w:rsidRDefault="0035389D">
      <w:pPr>
        <w:suppressAutoHyphens/>
        <w:ind w:left="9639" w:right="-31" w:firstLine="124"/>
        <w:jc w:val="both"/>
        <w:rPr>
          <w:sz w:val="20"/>
          <w:lang w:eastAsia="zh-CN"/>
        </w:rPr>
      </w:pPr>
      <w:r>
        <w:rPr>
          <w:color w:val="000000"/>
          <w:szCs w:val="24"/>
          <w:lang w:eastAsia="zh-CN"/>
        </w:rPr>
        <w:t>(Vilniaus rajono savivaldybės tarybos</w:t>
      </w:r>
    </w:p>
    <w:p w:rsidR="002F63BC" w:rsidRDefault="0035389D" w:rsidP="0035389D">
      <w:pPr>
        <w:suppressAutoHyphens/>
        <w:ind w:left="4041" w:firstLine="5722"/>
        <w:jc w:val="both"/>
        <w:rPr>
          <w:sz w:val="20"/>
          <w:lang w:eastAsia="zh-CN"/>
        </w:rPr>
      </w:pPr>
      <w:r>
        <w:rPr>
          <w:color w:val="000000"/>
          <w:szCs w:val="24"/>
          <w:lang w:eastAsia="zh-CN"/>
        </w:rPr>
        <w:t xml:space="preserve">2021 m. gruodžio 17 d. sprendimo Nr. T3-356    </w:t>
      </w:r>
    </w:p>
    <w:p w:rsidR="002F63BC" w:rsidRDefault="0035389D">
      <w:pPr>
        <w:suppressAutoHyphens/>
        <w:ind w:left="9639" w:right="-31" w:firstLine="124"/>
        <w:jc w:val="both"/>
        <w:rPr>
          <w:sz w:val="20"/>
          <w:lang w:eastAsia="zh-CN"/>
        </w:rPr>
      </w:pPr>
      <w:r>
        <w:rPr>
          <w:color w:val="000000"/>
          <w:szCs w:val="24"/>
          <w:lang w:eastAsia="zh-CN"/>
        </w:rPr>
        <w:t>nauja redakcija)</w:t>
      </w:r>
    </w:p>
    <w:p w:rsidR="002F63BC" w:rsidRDefault="002F63BC">
      <w:pPr>
        <w:suppressAutoHyphens/>
        <w:ind w:right="-31" w:firstLine="720"/>
        <w:jc w:val="right"/>
        <w:rPr>
          <w:b/>
          <w:szCs w:val="24"/>
          <w:lang w:eastAsia="zh-CN"/>
        </w:rPr>
      </w:pPr>
    </w:p>
    <w:p w:rsidR="002F63BC" w:rsidRDefault="002F63BC">
      <w:pPr>
        <w:suppressAutoHyphens/>
        <w:ind w:right="-31" w:firstLine="720"/>
        <w:rPr>
          <w:b/>
          <w:szCs w:val="24"/>
          <w:lang w:eastAsia="zh-CN"/>
        </w:rPr>
      </w:pPr>
    </w:p>
    <w:p w:rsidR="002F63BC" w:rsidRDefault="0035389D">
      <w:pPr>
        <w:suppressAutoHyphens/>
        <w:ind w:right="-31"/>
        <w:jc w:val="center"/>
        <w:rPr>
          <w:sz w:val="20"/>
          <w:lang w:eastAsia="zh-CN"/>
        </w:rPr>
      </w:pPr>
      <w:r>
        <w:rPr>
          <w:b/>
          <w:szCs w:val="24"/>
          <w:lang w:eastAsia="zh-CN"/>
        </w:rPr>
        <w:t>VILNIAUS RAJONO SAVIVALDYBĖS KORUPCIJOS PREVENCIJOS 2016-2025</w:t>
      </w:r>
      <w:r>
        <w:rPr>
          <w:b/>
          <w:sz w:val="20"/>
          <w:lang w:eastAsia="zh-CN"/>
        </w:rPr>
        <w:t xml:space="preserve"> </w:t>
      </w:r>
      <w:r>
        <w:rPr>
          <w:b/>
          <w:sz w:val="20"/>
          <w:szCs w:val="24"/>
          <w:lang w:eastAsia="zh-CN"/>
        </w:rPr>
        <w:t xml:space="preserve"> </w:t>
      </w:r>
      <w:r>
        <w:rPr>
          <w:b/>
          <w:szCs w:val="24"/>
          <w:lang w:eastAsia="zh-CN"/>
        </w:rPr>
        <w:t>METŲ PROGRAMOS</w:t>
      </w:r>
    </w:p>
    <w:p w:rsidR="002F63BC" w:rsidRDefault="0035389D">
      <w:pPr>
        <w:suppressAutoHyphens/>
        <w:ind w:right="-31"/>
        <w:jc w:val="center"/>
        <w:rPr>
          <w:sz w:val="20"/>
          <w:lang w:eastAsia="zh-CN"/>
        </w:rPr>
      </w:pPr>
      <w:r>
        <w:rPr>
          <w:b/>
          <w:szCs w:val="24"/>
          <w:lang w:eastAsia="zh-CN"/>
        </w:rPr>
        <w:t>ĮGYVENDINIMO PRIEMONIŲ PLANAS</w:t>
      </w:r>
    </w:p>
    <w:p w:rsidR="002F63BC" w:rsidRDefault="002F63BC">
      <w:pPr>
        <w:suppressAutoHyphens/>
        <w:ind w:right="-31"/>
        <w:rPr>
          <w:b/>
          <w:szCs w:val="24"/>
          <w:lang w:eastAsia="zh-CN"/>
        </w:rPr>
      </w:pPr>
    </w:p>
    <w:p w:rsidR="002F63BC" w:rsidRDefault="002F63BC">
      <w:pPr>
        <w:suppressAutoHyphens/>
        <w:ind w:right="-31"/>
        <w:rPr>
          <w:b/>
          <w:szCs w:val="24"/>
          <w:lang w:eastAsia="zh-CN"/>
        </w:rPr>
      </w:pPr>
    </w:p>
    <w:tbl>
      <w:tblPr>
        <w:tblW w:w="149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9"/>
        <w:gridCol w:w="6"/>
        <w:gridCol w:w="3262"/>
        <w:gridCol w:w="2976"/>
        <w:gridCol w:w="3071"/>
        <w:gridCol w:w="1560"/>
        <w:gridCol w:w="3412"/>
      </w:tblGrid>
      <w:tr w:rsidR="002F63BC">
        <w:trPr>
          <w:trHeight w:val="76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Eil.</w:t>
            </w:r>
          </w:p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Nr.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Problema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Priemonė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Vykdytojas (-ai)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Įvykdymo terminas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Laukiamo rezultato vertinimo kriterijai</w:t>
            </w:r>
          </w:p>
        </w:tc>
      </w:tr>
      <w:tr w:rsidR="002F63BC">
        <w:trPr>
          <w:trHeight w:val="1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1.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 xml:space="preserve">Yra rizika, kad gyventojai nepakankamai informuojami apie tai, kur savivaldybė gauna pajamas ir kaip </w:t>
            </w:r>
            <w:r>
              <w:rPr>
                <w:rFonts w:eastAsia="Calibri"/>
                <w:bCs/>
                <w:szCs w:val="24"/>
                <w:lang w:eastAsia="zh-CN"/>
              </w:rPr>
              <w:t>išleidžia biudžeto lėšas per metus.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bCs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Sukurti savivaldybės biudžeto išlaidų ir pajamų viešinimo sistemą.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administracijos Viešųjų ir tarptautinių ryšių skyrius, </w:t>
            </w:r>
            <w:r>
              <w:rPr>
                <w:rFonts w:ascii="Verdana" w:hAnsi="Verdana" w:cs="Verdana"/>
                <w:color w:val="000000"/>
                <w:szCs w:val="24"/>
                <w:lang w:eastAsia="lt-LT"/>
              </w:rPr>
              <w:t>Biudžeto planavimo skyrius</w:t>
            </w:r>
          </w:p>
          <w:p w:rsidR="002F63BC" w:rsidRDefault="002F63BC">
            <w:pPr>
              <w:widowControl w:val="0"/>
              <w:suppressAutoHyphens/>
              <w:rPr>
                <w:rFonts w:eastAsia="Calibri"/>
                <w:szCs w:val="24"/>
                <w:lang w:eastAsia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Kasmet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Gyventojai kartą per pusmetį savivaldybės interne</w:t>
            </w:r>
            <w:r>
              <w:rPr>
                <w:rFonts w:eastAsia="Calibri"/>
                <w:szCs w:val="24"/>
                <w:lang w:eastAsia="zh-CN"/>
              </w:rPr>
              <w:t>to puslapyje informuojami apie gautas pajamas ir patirtas išlaidas.</w:t>
            </w:r>
          </w:p>
        </w:tc>
      </w:tr>
      <w:tr w:rsidR="002F63BC">
        <w:trPr>
          <w:trHeight w:val="12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2.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Yra tikimybė, kad parengiant Savivaldybės veiklos sritis, kuriose bus atliekamas korupcijos pasireiškimo tikimybės nustatymas, ne visada gali būti atsižvelgiama į atliktų tyrimų ar </w:t>
            </w:r>
            <w:r>
              <w:rPr>
                <w:rFonts w:eastAsia="Calibri"/>
                <w:szCs w:val="24"/>
                <w:lang w:eastAsia="zh-CN"/>
              </w:rPr>
              <w:t>auditų metu nustatytą korupcijos riziką tam tikrose Savivaldybės veiklos srityse.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Į Savivaldybės veiklos sritį, kurioje būtų tikslinga nustatyti Korupcijos pasireiškimo tikimybę, parinkti įvertinus atliktų tyrimų ar apklausų rezultatus, gautus skundus ar </w:t>
            </w:r>
            <w:r>
              <w:rPr>
                <w:rFonts w:eastAsia="Calibri"/>
                <w:szCs w:val="24"/>
                <w:lang w:eastAsia="zh-CN"/>
              </w:rPr>
              <w:t xml:space="preserve">pranešimus, atsižvelgiant į Lietuvos Respublikos specialiųjų tyrimų tarnybos rekomendacijas ir specialiųjų tyrimų tarnybos direktoriaus 2021-11-30 įsakymu Nr. 2-246 „Dėl </w:t>
            </w:r>
            <w:r>
              <w:rPr>
                <w:rFonts w:eastAsia="Calibri"/>
                <w:szCs w:val="24"/>
                <w:lang w:eastAsia="zh-CN"/>
              </w:rPr>
              <w:lastRenderedPageBreak/>
              <w:t>korupcijos pasireiškimo tikimybės nustatymo ir jo atlikimo tvarkos rekomendacijų</w:t>
            </w:r>
          </w:p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patvi</w:t>
            </w:r>
            <w:r>
              <w:rPr>
                <w:rFonts w:eastAsia="Calibri"/>
                <w:szCs w:val="24"/>
                <w:lang w:eastAsia="zh-CN"/>
              </w:rPr>
              <w:t>rtinimo“.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lastRenderedPageBreak/>
              <w:t>Antikorupcijos komisija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Kasmet III ketvirtyje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Įvertinta korupcijos pasireiškimo tikimybė ir parengta išvada.</w:t>
            </w:r>
          </w:p>
        </w:tc>
      </w:tr>
      <w:tr w:rsidR="002F63BC">
        <w:trPr>
          <w:trHeight w:val="2069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Viešųjų ir privačių interesų neatskyrimas yra viena iš korupcijos prielaidų, galinti pasireikšti savivaldybėje.</w:t>
            </w:r>
          </w:p>
          <w:p w:rsidR="002F63BC" w:rsidRDefault="002F63BC">
            <w:pPr>
              <w:widowControl w:val="0"/>
              <w:suppressAutoHyphens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Kontroliuoti, ar </w:t>
            </w:r>
            <w:r>
              <w:rPr>
                <w:rFonts w:eastAsia="Calibri"/>
                <w:szCs w:val="24"/>
                <w:lang w:eastAsia="zh-CN"/>
              </w:rPr>
              <w:t>Savivaldybės darbuotojai, kuriems privaloma teikti privačių interesų deklaracijas, jas laiku pateikia.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administracijos Personalo skyrius, Tarybos sekretorius  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Asmenų, kuriems privaloma pateikti privačių interesų deklaracijas, skaičius</w:t>
            </w:r>
            <w:r>
              <w:rPr>
                <w:rFonts w:eastAsia="Calibri"/>
                <w:szCs w:val="24"/>
                <w:lang w:eastAsia="zh-CN"/>
              </w:rPr>
              <w:t xml:space="preserve"> 100 proc.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Visuomenėje gali būti susidariusi nuomonė apie neskaidrią Savivaldybės kontroliuojamų įmonių ir įstaigų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veiklą.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Užtikrinti, kad Savivaldybės kontroliuojamų įmonių ir įstaigų vadovai, jų pavaduotojai bei struktūrinių padalinių vadovai ir jų p</w:t>
            </w:r>
            <w:r>
              <w:rPr>
                <w:rFonts w:eastAsia="Calibri"/>
                <w:szCs w:val="24"/>
                <w:lang w:eastAsia="zh-CN"/>
              </w:rPr>
              <w:t>avaduotojai deklaruotų viešuosius ir privačius interesus.</w:t>
            </w:r>
          </w:p>
          <w:p w:rsidR="002F63BC" w:rsidRDefault="002F63BC">
            <w:pPr>
              <w:widowControl w:val="0"/>
              <w:suppressAutoHyphens/>
              <w:ind w:right="-31" w:firstLine="62"/>
              <w:rPr>
                <w:sz w:val="20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pacing w:line="259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Savivaldybės administracijos Personalo skyrius, atsakingų įstaigų ir įmonių vadovai</w:t>
            </w:r>
          </w:p>
          <w:p w:rsidR="002F63BC" w:rsidRDefault="002F63BC">
            <w:pPr>
              <w:rPr>
                <w:sz w:val="14"/>
                <w:szCs w:val="14"/>
              </w:rPr>
            </w:pPr>
          </w:p>
          <w:p w:rsidR="002F63BC" w:rsidRDefault="002F63BC">
            <w:pPr>
              <w:widowControl w:val="0"/>
              <w:suppressAutoHyphens/>
              <w:rPr>
                <w:sz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Viešųjų ir privačių interesų derinimo įstatymo nuostatų pažeidimų nebuvimas.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Tikėtinas interesantų </w:t>
            </w:r>
            <w:r>
              <w:rPr>
                <w:rFonts w:eastAsia="Calibri"/>
                <w:szCs w:val="24"/>
                <w:lang w:eastAsia="zh-CN"/>
              </w:rPr>
              <w:t>nepasitenkinimas teikiamų paslaugų kokybe bei Savivaldybės darbuotojų bendravimu.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Užtikrinti, kad Savivaldybės interesantai turėtų galimybę anoniminėse anketose pareikšti savo nuomonę apie suteiktų paslaugų kokybę bei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 xml:space="preserve">juos aptarnavusių Savivaldybės </w:t>
            </w:r>
            <w:r>
              <w:rPr>
                <w:rFonts w:eastAsia="Calibri"/>
                <w:szCs w:val="24"/>
                <w:lang w:eastAsia="zh-CN"/>
              </w:rPr>
              <w:t>administracijos darbuotojų pagirtiną ar netinkamą elgesį.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administracijos Bendrasis skyrius, seniūnijų seniūnai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Gaunamų pranešimų skaičius ir jo dinamika. Neigiamų ir teigiamų pranešimų skaičius.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Yra rizika,</w:t>
            </w:r>
            <w:r>
              <w:rPr>
                <w:rFonts w:eastAsia="Calibri"/>
                <w:szCs w:val="24"/>
                <w:lang w:eastAsia="zh-CN"/>
              </w:rPr>
              <w:t xml:space="preserve"> kad gyventojų nuomonė apie korupcijos paplitimą yra didesnė negu realiai paplitusi pati korupcija.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Nuolatos viešinti visas korupciją mažinančias priemones, kurti nepakančios teisės nusižengimams savivaldybės įvaizdį.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Antikorupcijos komisija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>,</w:t>
            </w:r>
          </w:p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administracijos Viešųjų ir tarptautinių ryšių skyrius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Padidės bendras pasitikėjimas Savivaldybės veikla. </w:t>
            </w:r>
          </w:p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Asmenų pasitikėjimo Savivaldybės institucijomis didėjimas, atsižvelgiant į gaunamus skundus ir jų skaičiaus kitimą.</w:t>
            </w:r>
          </w:p>
          <w:p w:rsidR="002F63BC" w:rsidRDefault="002F63BC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 xml:space="preserve">Yra rizika, </w:t>
            </w:r>
            <w:r>
              <w:rPr>
                <w:rFonts w:eastAsia="Calibri"/>
                <w:szCs w:val="24"/>
                <w:lang w:eastAsia="zh-CN"/>
              </w:rPr>
              <w:t xml:space="preserve"> kad gyventojai nepakankamai informuojami apie Savivaldybės valdomą nekilnojamąjį turtą, nekilnojamojo turto sandorius, apie vykdomus ir planuojamus projektus, viešųjų pirkimų informacijos, rengiamų ir išduotų statybos leidimų, įsiteisėjusių te</w:t>
            </w:r>
            <w:r>
              <w:rPr>
                <w:rFonts w:eastAsia="Calibri"/>
                <w:szCs w:val="24"/>
                <w:lang w:eastAsia="zh-CN"/>
              </w:rPr>
              <w:t>ismo sprendimų, Seimo kontrolieriaus sprendimai, kuriuose konstatuojami teisės aktų pažeidimai.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duomenų bazių atskleidimas visuomenei, t. y. informacijos apie Savivaldybės valdomą nekilnojamąjį turtą, informacijos apie nekilnojamojo turto sand</w:t>
            </w:r>
            <w:r>
              <w:rPr>
                <w:rFonts w:eastAsia="Calibri"/>
                <w:szCs w:val="24"/>
                <w:lang w:eastAsia="zh-CN"/>
              </w:rPr>
              <w:t xml:space="preserve">orius, viešų susitikimų protokolų, informacijos apie vykdomus ir planuojamus projektus, viešųjų pirkimų informacijos, rengiamų ir išduotų statybos leidimų, įsiteisėjusių teismo sprendimų, kuriuose konstatuojami teisės aktų pažeidimai, ir pan. prieinamumas </w:t>
            </w:r>
            <w:r>
              <w:rPr>
                <w:rFonts w:eastAsia="Calibri"/>
                <w:szCs w:val="24"/>
                <w:lang w:eastAsia="zh-CN"/>
              </w:rPr>
              <w:t>visuomenei.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struktūrinių padalinių vadovai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Atvertų duomenų bazių visuomenei skaičius (ne mažiau kaip 1-2 kasmet).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color w:val="000000"/>
                <w:szCs w:val="24"/>
                <w:lang w:eastAsia="zh-CN"/>
              </w:rPr>
              <w:t>Yra rizika, kad dalis administracinių procedūrų trunka per ilgai ir yra sudėtingo pobūdžio, dėl to</w:t>
            </w:r>
            <w:r>
              <w:rPr>
                <w:b/>
                <w:bCs/>
                <w:color w:val="000000"/>
                <w:szCs w:val="24"/>
                <w:lang w:eastAsia="zh-CN"/>
              </w:rPr>
              <w:t xml:space="preserve"> </w:t>
            </w:r>
            <w:r>
              <w:rPr>
                <w:color w:val="000000"/>
                <w:szCs w:val="24"/>
                <w:lang w:eastAsia="zh-CN"/>
              </w:rPr>
              <w:t>asmenims, siekiantiems gauti kokybiškas administracines paslaugas, gali atsirasti korupcijos pasireiškimo rizika.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color w:val="FF0000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gyventojams viešinti informaciją apie internetu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teikiamas administracines paslaugas.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Viešųjų ir tar</w:t>
            </w:r>
            <w:r>
              <w:rPr>
                <w:rFonts w:eastAsia="Calibri"/>
                <w:szCs w:val="24"/>
                <w:lang w:eastAsia="zh-CN"/>
              </w:rPr>
              <w:t xml:space="preserve">ptautinių ryšių skyrius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Nuolat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Internetu teikiamų paslaugų skaičiaus didėjimas. 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Yra rizika, kad priimami teisės aktai gali būti inicijuoti ir priimti sprendimai gali būti palankūs vienai suinteresuotai gyventojų grupei, paminant daugumos </w:t>
            </w:r>
            <w:r>
              <w:rPr>
                <w:rFonts w:eastAsia="Calibri"/>
                <w:szCs w:val="24"/>
                <w:lang w:eastAsia="zh-CN"/>
              </w:rPr>
              <w:t>suinteresuotų šalių interesus.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Antikorupciniu požiūriu vertinti teisės aktų projektus.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Teisės aktų projektų vertintojai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Įvertinti visi teisės aktų projektai, kuriuos privaloma įvertinti pagal Korupcijos prevencijos įstatymo 8 straipsnio 1 dalies nu</w:t>
            </w:r>
            <w:r>
              <w:rPr>
                <w:rFonts w:eastAsia="Calibri"/>
                <w:szCs w:val="24"/>
                <w:lang w:eastAsia="zh-CN"/>
              </w:rPr>
              <w:t>ostatas.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Yra grėsmė priimti į valstybės tarnybą asmenis, turinčius kitose veiklose susikompromitavusio arba teisto asmens statusą.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Kreiptis dėl informacijos apie asmenį, siekiantį eiti pareigas Savivaldybės institucijoje, įstaigoje ar įmonėje, pateikimo, kai siekiamos eiti pareigos yra įtrauktos į Vilniaus rajono savivaldybės administracijos direktoriaus 2015-11-18 įsakymu Nr. A27(1)-</w:t>
            </w:r>
            <w:r>
              <w:rPr>
                <w:rFonts w:eastAsia="Calibri"/>
                <w:szCs w:val="24"/>
                <w:lang w:eastAsia="zh-CN"/>
              </w:rPr>
              <w:t xml:space="preserve">2696 patvirtintą Vilniaus rajono savivaldybės pareigybių, į kurias prieš skirdama asmenį, savivaldybė pateiks rašytinį prašymą Specialiųjų tyrimų tarnybai dėl informacijos apie šias pareigas siekiantį eiti asmenį, sąrašą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Perso</w:t>
            </w:r>
            <w:r>
              <w:rPr>
                <w:rFonts w:eastAsia="Calibri"/>
                <w:szCs w:val="24"/>
                <w:lang w:eastAsia="zh-CN"/>
              </w:rPr>
              <w:t>nalo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Savivaldybėje valstybės tarnautojais ir jiems prilygintais asmenimis galės tapti tik nepriekaištingos reputacijos asmenys. Kreiptasi į Specialiųjų tyrimų tarnybą tais atvejais, kai asmuo siekė eiti pareigas, kurios įtrauktos į Vilniaus </w:t>
            </w:r>
            <w:r>
              <w:rPr>
                <w:rFonts w:eastAsia="Calibri"/>
                <w:szCs w:val="24"/>
                <w:lang w:eastAsia="zh-CN"/>
              </w:rPr>
              <w:t xml:space="preserve">rajono savivaldybės administracijos direktoriaus 2015-11-18 įsakymu Nr. A27(1)-2696 patvirtintą Vilniaus rajono savivaldybės pareigybių, į kurias prieš skirdama asmenį, savivaldybė pateiks rašytinį prašymą Specialiųjų tyrimų tarnybai dėl informacijos apie </w:t>
            </w:r>
            <w:r>
              <w:rPr>
                <w:rFonts w:eastAsia="Calibri"/>
                <w:szCs w:val="24"/>
                <w:lang w:eastAsia="zh-CN"/>
              </w:rPr>
              <w:t>šias pareigas siekiantį eiti asmenį, sąrašą</w:t>
            </w:r>
          </w:p>
          <w:p w:rsidR="002F63BC" w:rsidRDefault="002F63BC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Yra rizika, kad yra asmenų, dirbančių valstybės tarnyboje, darančių nusižengimus ir dažnai keičiančių darbovietes.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Teikti informaciją Valstybės tarnautojų ir Juridinių asmenų registrams.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</w:t>
            </w:r>
            <w:r>
              <w:rPr>
                <w:rFonts w:eastAsia="Calibri"/>
                <w:szCs w:val="24"/>
                <w:lang w:eastAsia="zh-CN"/>
              </w:rPr>
              <w:t>administracijos Personalo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Bus užtikrintas tinkamas antikorupcinių ir kitų teisės aktų reikalavimų vykdymas. Pateikta visa būtina informacija.</w:t>
            </w:r>
          </w:p>
          <w:p w:rsidR="002F63BC" w:rsidRDefault="002F63BC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administracijos direktoriaus įsakymais sudaromos komisijos ir darbo grupės įvairiems klausimams spręsti. </w:t>
            </w:r>
            <w:r>
              <w:rPr>
                <w:rFonts w:eastAsia="Calibri"/>
                <w:bCs/>
                <w:szCs w:val="24"/>
                <w:lang w:eastAsia="zh-CN"/>
              </w:rPr>
              <w:t>Yra rizika, kad</w:t>
            </w:r>
            <w:r>
              <w:rPr>
                <w:rFonts w:eastAsia="Calibri"/>
                <w:szCs w:val="24"/>
                <w:lang w:eastAsia="zh-CN"/>
              </w:rPr>
              <w:t xml:space="preserve"> į jas gali būti įtraukiami asmenys, suinteresuoti savanaudiškai spręsti problemas.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Tikrinti ir informuoti darbuotojus, kad</w:t>
            </w:r>
            <w:r>
              <w:rPr>
                <w:rFonts w:eastAsia="Calibri"/>
                <w:szCs w:val="24"/>
                <w:lang w:eastAsia="zh-CN"/>
              </w:rPr>
              <w:t xml:space="preserve"> į Savivaldybės administracijos direktoriaus sudaromas komisijas ir darbo grupes įtrauktų asmenų dalyvavimas šių komisijų ir darbo grupių veikloje nesukeltų interesų konflikto. Informuoti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komisijoms ir darbo grupėms priklausančius asmenis apie pareigą nusi</w:t>
            </w:r>
            <w:r>
              <w:rPr>
                <w:rFonts w:eastAsia="Calibri"/>
                <w:szCs w:val="24"/>
                <w:lang w:eastAsia="zh-CN"/>
              </w:rPr>
              <w:t>šalinti iškilus interesų konfliktui.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struktūrinių padalinių vadovai ir Personalo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valstybės tarnautojams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, </w:t>
            </w:r>
            <w:r>
              <w:rPr>
                <w:rFonts w:eastAsia="Calibri"/>
                <w:szCs w:val="24"/>
                <w:lang w:eastAsia="zh-CN"/>
              </w:rPr>
              <w:t>darbuotojams, dirbantiems pagal darbo sutartis, ir kitiems asmenims, dalyvauj</w:t>
            </w:r>
            <w:r>
              <w:rPr>
                <w:rFonts w:eastAsia="Calibri"/>
                <w:szCs w:val="24"/>
                <w:lang w:eastAsia="zh-CN"/>
              </w:rPr>
              <w:t>antiems komisijų ir darbo grupių veikloje,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 xml:space="preserve">sumažės galimybių sukelti viešųjų ir privačių interesų konfliktą. </w:t>
            </w:r>
          </w:p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Atliktų kontrolės veiksmų skaičius.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Gyventojams gali trūkti informacijos apie anoniminės telefono linijos veikimą Savivaldybės </w:t>
            </w:r>
            <w:r>
              <w:rPr>
                <w:rFonts w:eastAsia="Calibri"/>
                <w:szCs w:val="24"/>
                <w:lang w:eastAsia="zh-CN"/>
              </w:rPr>
              <w:t>administracijoje, kai gyventojai gali paskambinti ir pranešti apie galimus teisės aktų pažeidimus ir korupcijos pasireiškimą.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Užtikrinti Savivaldybės administracijos anoniminių pranešimų linijos (karštosios linijos) veikimą ir populiarinimą.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Savivaldybės </w:t>
            </w:r>
            <w:r>
              <w:rPr>
                <w:rFonts w:eastAsia="Calibri"/>
                <w:szCs w:val="24"/>
                <w:lang w:eastAsia="zh-CN"/>
              </w:rPr>
              <w:t>administracijos Centralizuotas vidaus audito skyrius ir Viešųjų ir tarptautinių ryšių skyrius, Ūkio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Bus užtikrintas tinkamas tel. Nr. </w:t>
            </w:r>
            <w:r>
              <w:rPr>
                <w:bCs/>
                <w:szCs w:val="24"/>
                <w:lang w:eastAsia="zh-CN"/>
              </w:rPr>
              <w:t>8 800 007</w:t>
            </w:r>
            <w:r>
              <w:rPr>
                <w:bCs/>
                <w:szCs w:val="24"/>
                <w:lang w:val="ru-RU" w:eastAsia="zh-CN"/>
              </w:rPr>
              <w:t>7</w:t>
            </w:r>
            <w:r>
              <w:rPr>
                <w:bCs/>
                <w:szCs w:val="24"/>
                <w:lang w:eastAsia="zh-CN"/>
              </w:rPr>
              <w:t>2</w:t>
            </w:r>
            <w:r>
              <w:rPr>
                <w:b/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administravimas.</w:t>
            </w:r>
            <w:r>
              <w:rPr>
                <w:b/>
                <w:szCs w:val="24"/>
                <w:lang w:eastAsia="zh-CN"/>
              </w:rPr>
              <w:t xml:space="preserve"> </w:t>
            </w:r>
            <w:r>
              <w:rPr>
                <w:szCs w:val="24"/>
                <w:lang w:eastAsia="zh-CN"/>
              </w:rPr>
              <w:t>Užregistruotų anoniminių ir kitų pranešimų skaičius.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14.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bCs/>
                <w:szCs w:val="24"/>
                <w:lang w:eastAsia="zh-CN"/>
              </w:rPr>
              <w:t>Yra rizika,  kad g</w:t>
            </w:r>
            <w:r>
              <w:rPr>
                <w:rFonts w:eastAsia="Calibri"/>
                <w:szCs w:val="24"/>
                <w:lang w:eastAsia="zh-CN"/>
              </w:rPr>
              <w:t>alimi pažeidimai atliekant viešuosius pirkimus.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Siekti didinti viešųjų pirkimų apimtis per Centrinę perkančiąją organizaciją, atsižvelgiant į Centrinės perkančiosios organizacijos prekių ir paslaugų kataloge pateiktų prekių, paslaugų ir darbų asortimentą.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Viešųjų pirkimų skyrius, kiti struktūriniai padaliniai ir asmenys, kuriems pavesta atlikti viešuosius pirkimus.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Sistemingai didės per Centrinę perkančiąją organizaciją atliktų pirkimų procentinė išraiška.</w:t>
            </w: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15.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Siekti d</w:t>
            </w:r>
            <w:r>
              <w:rPr>
                <w:rFonts w:eastAsia="Calibri"/>
                <w:szCs w:val="24"/>
                <w:lang w:eastAsia="zh-CN"/>
              </w:rPr>
              <w:t>idesnio viešųjų pirkimų komisijos veiklos nešališkumo, mažinti skundų dėl proceso organizavimo ir galimo neobjektyvumo gaunamų skundų skaičių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Įrašinėti viešųjų pirkimų komisijos posėdžius, kuriuose susipažįstama su tiekėjų (teikėjų) pasiūlymais, dalyvauja </w:t>
            </w:r>
            <w:r>
              <w:rPr>
                <w:rFonts w:eastAsia="Calibri"/>
                <w:szCs w:val="24"/>
                <w:lang w:eastAsia="zh-CN"/>
              </w:rPr>
              <w:t>tiekėjų (teikėjų) atstovai ar jų įgalioti asmenys (perkamų prekių ir paslaugų vertė didesnė nei 58 tūkst. Eur (be PVM), o darbų – 145 tūkst. Eur (be PVM).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Viešųjų pirkimų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Užtikrinti, kad būtų laikomasi lygiateisi</w:t>
            </w:r>
            <w:r>
              <w:rPr>
                <w:rFonts w:eastAsia="Calibri"/>
                <w:szCs w:val="24"/>
                <w:lang w:eastAsia="zh-CN"/>
              </w:rPr>
              <w:t xml:space="preserve">škumo, nediskriminavimo, abipusio pripažinimo, proporcingumo principų. </w:t>
            </w:r>
          </w:p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Įrašyti visi viešųjų pirkimų komisijos posėdžiai, kuriuose susipažįstama su tiekėjų (teikėjų) pasiūlymais, dalyvauja tiekėjų (teikėjų) atstovai ar jų įgalioti asmenys (perkamų prekių i</w:t>
            </w:r>
            <w:r>
              <w:rPr>
                <w:rFonts w:eastAsia="Calibri"/>
                <w:szCs w:val="24"/>
                <w:lang w:eastAsia="zh-CN"/>
              </w:rPr>
              <w:t>r paslaugų vertė didesnė nei 58 tūkst. Eur (be PVM), o darbų – 145 tūkst. Eur (be PVM).</w:t>
            </w:r>
          </w:p>
        </w:tc>
      </w:tr>
      <w:tr w:rsidR="002F63BC">
        <w:trPr>
          <w:trHeight w:val="2449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16.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Visuomenė galimai per mažai domisi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savivaldybės vykdoma korupcijos prevencija.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Informuoti visuomenę apie savivaldybėje vykdomą korupcijos prevencijos veiklą ir vy</w:t>
            </w:r>
            <w:r>
              <w:rPr>
                <w:rFonts w:eastAsia="Calibri"/>
                <w:szCs w:val="24"/>
                <w:lang w:eastAsia="zh-CN"/>
              </w:rPr>
              <w:t>kdomas antikorupcines priemones.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Centralizuotas vidaus audito skyrius ir Viešųjų ir tarptautinių ryšių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Vilniaus rajono savivaldybės interneto svetainėje ir socialiniuose tinkluose skelbiama informacija, skirta </w:t>
            </w:r>
            <w:r>
              <w:rPr>
                <w:rFonts w:eastAsia="Calibri"/>
                <w:szCs w:val="24"/>
                <w:lang w:eastAsia="zh-CN"/>
              </w:rPr>
              <w:t>šviesti rajono gyventojus apie vykdomas korupcijos prevencines priemones ir didinti pasitikėjimą Savivaldybės administracijos darbu.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17.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Yra rizika, kad dalis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eastAsia="Calibri"/>
                <w:szCs w:val="24"/>
                <w:lang w:eastAsia="zh-CN"/>
              </w:rPr>
              <w:t>Savivaldybės administracijos darbuotojų yra nepakankamai informuoti apie korupcijos prevencijo</w:t>
            </w:r>
            <w:r>
              <w:rPr>
                <w:rFonts w:eastAsia="Calibri"/>
                <w:szCs w:val="24"/>
                <w:lang w:eastAsia="zh-CN"/>
              </w:rPr>
              <w:t>s ir neteisėtų veikų nustatymo veiklą.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Organizuoti Savivaldybės administracijoje mokymus antikorupcijos temomis.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Personalo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valstybės tarnautojai ir darbuotojai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, </w:t>
            </w:r>
            <w:r>
              <w:rPr>
                <w:rFonts w:eastAsia="Calibri"/>
                <w:szCs w:val="24"/>
                <w:lang w:eastAsia="zh-CN"/>
              </w:rPr>
              <w:t xml:space="preserve">dirbantys pagal darbo sutartis, bus </w:t>
            </w:r>
            <w:r>
              <w:rPr>
                <w:rFonts w:eastAsia="Calibri"/>
                <w:szCs w:val="24"/>
                <w:lang w:eastAsia="zh-CN"/>
              </w:rPr>
              <w:t>supažindinti su korupcijos pasekmėmis ir prevencinėmis priemonėmis.</w:t>
            </w:r>
          </w:p>
          <w:p w:rsidR="002F63BC" w:rsidRDefault="002F63BC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18.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Korupcijos užuomazgos atsiranda dar jaunystėje, vaikai ir jaunimas ne visada noriai įsitraukia į antikorupcinę veiklą.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Integruoti į ugdymo procesą antikorupcinį švietimą.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</w:t>
            </w:r>
            <w:r>
              <w:rPr>
                <w:rFonts w:eastAsia="Calibri"/>
                <w:szCs w:val="24"/>
                <w:lang w:eastAsia="zh-CN"/>
              </w:rPr>
              <w:t>ės administracijos Švietimo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Nuolat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Bus surengti bendrojo ugdymo mokyklų mokinių konkursai, moksleivių debatai, darbų parodos, daugiau mokinių bus supažindinti su antikorupcinėmis iniciatyvomis ir korupcijos grėsmėmis švietimo renginiuose.</w:t>
            </w:r>
          </w:p>
          <w:p w:rsidR="002F63BC" w:rsidRDefault="002F63BC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 w:firstLine="62"/>
              <w:rPr>
                <w:sz w:val="20"/>
                <w:lang w:eastAsia="zh-CN"/>
              </w:rPr>
            </w:pPr>
          </w:p>
        </w:tc>
      </w:tr>
      <w:tr w:rsidR="002F63BC">
        <w:trPr>
          <w:trHeight w:val="267"/>
        </w:trPr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3BC" w:rsidRDefault="0035389D">
            <w:pPr>
              <w:widowControl w:val="0"/>
              <w:suppressAutoHyphens/>
              <w:ind w:right="-31"/>
              <w:jc w:val="center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19.</w:t>
            </w:r>
            <w:r>
              <w:rPr>
                <w:rFonts w:eastAsia="Calibri"/>
                <w:strike/>
                <w:szCs w:val="24"/>
                <w:lang w:eastAsia="zh-C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Visuomenėje gali būti susidariusi nuomonė, kad infrastruktūriniai projektai (kelių projektavimas, tvarkymas, asfaltavimas, apšvietimas) yra nepakankamai viešinami.</w:t>
            </w:r>
          </w:p>
          <w:p w:rsidR="002F63BC" w:rsidRDefault="002F63BC">
            <w:pPr>
              <w:widowControl w:val="0"/>
              <w:suppressAutoHyphens/>
              <w:ind w:right="-31"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Papildomai viešinti informaciją apie įgyvendinamus infrastruktūrinius projektus, jų rezulta</w:t>
            </w:r>
            <w:r>
              <w:rPr>
                <w:rFonts w:eastAsia="Calibri"/>
                <w:szCs w:val="24"/>
                <w:lang w:eastAsia="zh-CN"/>
              </w:rPr>
              <w:t>tus.</w:t>
            </w:r>
          </w:p>
          <w:p w:rsidR="002F63BC" w:rsidRDefault="002F63BC">
            <w:pPr>
              <w:widowControl w:val="0"/>
              <w:suppressAutoHyphens/>
              <w:rPr>
                <w:rFonts w:eastAsia="Calibri"/>
                <w:szCs w:val="24"/>
                <w:lang w:eastAsia="zh-CN"/>
              </w:rPr>
            </w:pPr>
          </w:p>
          <w:p w:rsidR="002F63BC" w:rsidRDefault="002F63BC">
            <w:pPr>
              <w:widowControl w:val="0"/>
              <w:suppressAutoHyphens/>
              <w:rPr>
                <w:rFonts w:eastAsia="Calibri"/>
                <w:szCs w:val="24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>Savivaldybės administracijos Investicijų skyrius, Statybos skyrius, Viešųjų ir tarptautinių ryšių skyrius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Nuolat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3BC" w:rsidRDefault="0035389D">
            <w:pPr>
              <w:widowControl w:val="0"/>
              <w:tabs>
                <w:tab w:val="left" w:pos="300"/>
                <w:tab w:val="left" w:pos="1160"/>
              </w:tabs>
              <w:suppressAutoHyphens/>
              <w:ind w:right="-31"/>
              <w:rPr>
                <w:sz w:val="20"/>
                <w:lang w:eastAsia="zh-CN"/>
              </w:rPr>
            </w:pPr>
            <w:r>
              <w:rPr>
                <w:rFonts w:eastAsia="Calibri"/>
                <w:szCs w:val="24"/>
                <w:lang w:eastAsia="zh-CN"/>
              </w:rPr>
              <w:t xml:space="preserve">Visuomenė bus dažniau informuojama apie infrastruktūrinius projektus. Informacija bus skelbiama Vilniaus rajono savivaldybės interneto </w:t>
            </w:r>
            <w:r>
              <w:rPr>
                <w:rFonts w:eastAsia="Calibri"/>
                <w:szCs w:val="24"/>
                <w:lang w:eastAsia="zh-CN"/>
              </w:rPr>
              <w:t>svetainėje</w:t>
            </w:r>
            <w:r>
              <w:rPr>
                <w:rFonts w:eastAsia="Calibri"/>
                <w:b/>
                <w:bCs/>
                <w:szCs w:val="24"/>
                <w:lang w:eastAsia="zh-CN"/>
              </w:rPr>
              <w:t xml:space="preserve">, </w:t>
            </w:r>
            <w:r>
              <w:rPr>
                <w:rFonts w:eastAsia="Calibri"/>
                <w:szCs w:val="24"/>
                <w:lang w:eastAsia="zh-CN"/>
              </w:rPr>
              <w:t xml:space="preserve">socialinių tinklų paskyrose ir spaudoje.  </w:t>
            </w:r>
          </w:p>
        </w:tc>
      </w:tr>
    </w:tbl>
    <w:p w:rsidR="002F63BC" w:rsidRDefault="002F63BC">
      <w:pPr>
        <w:suppressAutoHyphens/>
        <w:ind w:right="-31"/>
        <w:rPr>
          <w:b/>
          <w:szCs w:val="24"/>
          <w:lang w:eastAsia="zh-CN"/>
        </w:rPr>
      </w:pPr>
    </w:p>
    <w:p w:rsidR="002F63BC" w:rsidRDefault="0035389D">
      <w:pPr>
        <w:suppressAutoHyphens/>
        <w:ind w:right="-31"/>
        <w:jc w:val="center"/>
        <w:rPr>
          <w:sz w:val="20"/>
          <w:lang w:eastAsia="zh-CN"/>
        </w:rPr>
      </w:pPr>
      <w:r>
        <w:rPr>
          <w:szCs w:val="24"/>
          <w:lang w:eastAsia="zh-CN"/>
        </w:rPr>
        <w:t>_______________________</w:t>
      </w:r>
    </w:p>
    <w:p w:rsidR="002F63BC" w:rsidRDefault="0035389D"/>
    <w:sectPr w:rsidR="002F63BC">
      <w:headerReference w:type="default" r:id="rId7"/>
      <w:pgSz w:w="16838" w:h="11906" w:orient="landscape"/>
      <w:pgMar w:top="1701" w:right="1134" w:bottom="567" w:left="1134" w:header="567" w:footer="0" w:gutter="0"/>
      <w:cols w:space="1296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3BC" w:rsidRDefault="0035389D">
      <w:pPr>
        <w:suppressAutoHyphens/>
        <w:rPr>
          <w:sz w:val="20"/>
          <w:lang w:eastAsia="zh-CN"/>
        </w:rPr>
      </w:pPr>
      <w:r>
        <w:rPr>
          <w:sz w:val="20"/>
          <w:lang w:eastAsia="zh-CN"/>
        </w:rPr>
        <w:separator/>
      </w:r>
    </w:p>
  </w:endnote>
  <w:endnote w:type="continuationSeparator" w:id="0">
    <w:p w:rsidR="002F63BC" w:rsidRDefault="0035389D">
      <w:pPr>
        <w:suppressAutoHyphens/>
        <w:rPr>
          <w:sz w:val="20"/>
          <w:lang w:eastAsia="zh-CN"/>
        </w:rPr>
      </w:pPr>
      <w:r>
        <w:rPr>
          <w:sz w:val="20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3BC" w:rsidRDefault="0035389D">
      <w:pPr>
        <w:suppressAutoHyphens/>
        <w:rPr>
          <w:sz w:val="20"/>
          <w:lang w:eastAsia="zh-CN"/>
        </w:rPr>
      </w:pPr>
      <w:r>
        <w:rPr>
          <w:sz w:val="20"/>
          <w:lang w:eastAsia="zh-CN"/>
        </w:rPr>
        <w:separator/>
      </w:r>
    </w:p>
  </w:footnote>
  <w:footnote w:type="continuationSeparator" w:id="0">
    <w:p w:rsidR="002F63BC" w:rsidRDefault="0035389D">
      <w:pPr>
        <w:suppressAutoHyphens/>
        <w:rPr>
          <w:sz w:val="20"/>
          <w:lang w:eastAsia="zh-CN"/>
        </w:rPr>
      </w:pPr>
      <w:r>
        <w:rPr>
          <w:sz w:val="20"/>
          <w:lang w:eastAsia="zh-C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3BC" w:rsidRDefault="0035389D">
    <w:pPr>
      <w:tabs>
        <w:tab w:val="center" w:pos="4986"/>
        <w:tab w:val="right" w:pos="9972"/>
      </w:tabs>
      <w:suppressAutoHyphens/>
      <w:jc w:val="right"/>
      <w:rPr>
        <w:szCs w:val="24"/>
        <w:lang w:eastAsia="lt-LT"/>
      </w:rPr>
    </w:pPr>
    <w:r>
      <w:rPr>
        <w:szCs w:val="24"/>
        <w:lang w:eastAsia="zh-CN"/>
      </w:rPr>
      <w:fldChar w:fldCharType="begin"/>
    </w:r>
    <w:r>
      <w:rPr>
        <w:szCs w:val="24"/>
        <w:lang w:eastAsia="zh-CN"/>
      </w:rPr>
      <w:instrText>PAGE</w:instrText>
    </w:r>
    <w:r>
      <w:rPr>
        <w:szCs w:val="24"/>
        <w:lang w:eastAsia="zh-CN"/>
      </w:rPr>
      <w:fldChar w:fldCharType="separate"/>
    </w:r>
    <w:r>
      <w:rPr>
        <w:noProof/>
        <w:szCs w:val="24"/>
        <w:lang w:eastAsia="zh-CN"/>
      </w:rPr>
      <w:t>2</w:t>
    </w:r>
    <w:r>
      <w:rPr>
        <w:szCs w:val="24"/>
        <w:lang w:eastAsia="zh-CN"/>
      </w:rPr>
      <w:fldChar w:fldCharType="end"/>
    </w:r>
  </w:p>
  <w:p w:rsidR="002F63BC" w:rsidRDefault="002F63BC">
    <w:pPr>
      <w:tabs>
        <w:tab w:val="center" w:pos="4986"/>
        <w:tab w:val="right" w:pos="9972"/>
      </w:tabs>
      <w:suppressAutoHyphens/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8"/>
    <w:rsid w:val="002F63BC"/>
    <w:rsid w:val="0035389D"/>
    <w:rsid w:val="00C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49A4"/>
  <w15:docId w15:val="{631208D7-3A2D-4007-B4F0-394F60DE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7528</Words>
  <Characters>4291</Characters>
  <Application>Microsoft Office Word</Application>
  <DocSecurity>4</DocSecurity>
  <Lines>35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/>
  <LinksUpToDate>false</LinksUpToDate>
  <CharactersWithSpaces>11796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2021-12-23T11:41:00Z</dcterms:created>
  <dc:creator>Mindaugas Čipinys</dc:creator>
  <dc:language>lt-LT</dc:language>
  <lastModifiedBy>DZIKAITĖ Jolanta</lastModifiedBy>
  <lastPrinted>1995-11-21T15:41:00Z</lastPrinted>
  <dcterms:modified xsi:type="dcterms:W3CDTF">2021-12-23T11:41:00Z</dcterms:modified>
  <revision>2</revision>
  <dc:title>Projektas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